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9F" w:rsidRPr="00FE0C9F" w:rsidRDefault="00FE0C9F" w:rsidP="00FE0C9F">
      <w:pPr>
        <w:spacing w:after="0" w:line="240" w:lineRule="auto"/>
        <w:ind w:right="1758"/>
        <w:jc w:val="both"/>
        <w:rPr>
          <w:rFonts w:ascii="Tahoma" w:hAnsi="Tahoma" w:cs="Tahoma"/>
          <w:b/>
          <w:sz w:val="20"/>
          <w:szCs w:val="20"/>
        </w:rPr>
      </w:pPr>
    </w:p>
    <w:p w:rsidR="00FE0C9F" w:rsidRPr="00107B6A" w:rsidRDefault="00FE0C9F" w:rsidP="00610468">
      <w:pPr>
        <w:pStyle w:val="Textoindependiente"/>
        <w:widowControl w:val="0"/>
        <w:tabs>
          <w:tab w:val="left" w:pos="2410"/>
          <w:tab w:val="left" w:pos="3686"/>
          <w:tab w:val="left" w:pos="6237"/>
          <w:tab w:val="left" w:pos="6946"/>
        </w:tabs>
        <w:suppressAutoHyphens/>
        <w:spacing w:after="0" w:line="240" w:lineRule="auto"/>
        <w:ind w:left="3402" w:right="2267" w:hanging="992"/>
        <w:jc w:val="both"/>
        <w:rPr>
          <w:rFonts w:ascii="Tahoma" w:hAnsi="Tahoma" w:cs="Tahoma"/>
          <w:i/>
          <w:sz w:val="20"/>
          <w:szCs w:val="20"/>
          <w:lang w:val="es-PE"/>
        </w:rPr>
      </w:pPr>
      <w:r w:rsidRPr="00FE0C9F">
        <w:rPr>
          <w:rFonts w:ascii="Tahoma" w:hAnsi="Tahoma" w:cs="Tahoma"/>
          <w:b/>
          <w:sz w:val="20"/>
          <w:szCs w:val="20"/>
        </w:rPr>
        <w:t>Sumilla:</w:t>
      </w:r>
      <w:r w:rsidR="00107B6A">
        <w:rPr>
          <w:rFonts w:ascii="Tahoma" w:hAnsi="Tahoma" w:cs="Tahoma"/>
          <w:b/>
          <w:sz w:val="20"/>
          <w:szCs w:val="20"/>
        </w:rPr>
        <w:t xml:space="preserve"> </w:t>
      </w:r>
      <w:r w:rsidR="003242B2">
        <w:rPr>
          <w:rFonts w:ascii="Tahoma" w:hAnsi="Tahoma" w:cs="Tahoma"/>
          <w:b/>
          <w:sz w:val="20"/>
          <w:szCs w:val="20"/>
        </w:rPr>
        <w:t xml:space="preserve"> </w:t>
      </w:r>
      <w:r w:rsidR="00107B6A" w:rsidRPr="00107B6A">
        <w:rPr>
          <w:rFonts w:ascii="Tahoma" w:hAnsi="Tahoma" w:cs="Tahoma"/>
          <w:i/>
          <w:sz w:val="20"/>
        </w:rPr>
        <w:t xml:space="preserve">El procedimiento para suscribir el contrato ha sido previsto en el artículo 19º </w:t>
      </w:r>
      <w:r w:rsidR="00107B6A" w:rsidRPr="00107B6A">
        <w:rPr>
          <w:rFonts w:ascii="Tahoma" w:hAnsi="Tahoma" w:cs="Tahoma"/>
          <w:i/>
          <w:spacing w:val="-2"/>
          <w:sz w:val="20"/>
        </w:rPr>
        <w:t xml:space="preserve">del </w:t>
      </w:r>
      <w:r w:rsidR="00107B6A" w:rsidRPr="00107B6A">
        <w:rPr>
          <w:rFonts w:ascii="Tahoma" w:hAnsi="Tahoma" w:cs="Tahoma"/>
          <w:i/>
          <w:sz w:val="20"/>
        </w:rPr>
        <w:t xml:space="preserve">Reglamento de la Ley Nº 27767, el cual dispone que el contrato se deberá suscribir, </w:t>
      </w:r>
      <w:r w:rsidR="00107B6A" w:rsidRPr="00107B6A">
        <w:rPr>
          <w:rFonts w:ascii="Tahoma" w:hAnsi="Tahoma" w:cs="Tahoma"/>
          <w:i/>
          <w:sz w:val="20"/>
          <w:u w:val="single"/>
        </w:rPr>
        <w:t>al tercer día hábil siguiente a la fecha del otorgamiento de la Buena Pro</w:t>
      </w:r>
      <w:r w:rsidR="00107B6A" w:rsidRPr="00107B6A">
        <w:rPr>
          <w:rFonts w:ascii="Tahoma" w:hAnsi="Tahoma" w:cs="Tahoma"/>
          <w:i/>
          <w:sz w:val="20"/>
        </w:rPr>
        <w:t>, sin establecer un procedimiento determinado para ello</w:t>
      </w:r>
      <w:r w:rsidRPr="00107B6A">
        <w:rPr>
          <w:rFonts w:ascii="Tahoma" w:hAnsi="Tahoma" w:cs="Tahoma"/>
          <w:i/>
          <w:sz w:val="20"/>
          <w:szCs w:val="20"/>
        </w:rPr>
        <w:t>.</w:t>
      </w:r>
    </w:p>
    <w:p w:rsidR="00FE0C9F" w:rsidRDefault="00FE0C9F" w:rsidP="00FE0C9F">
      <w:pPr>
        <w:pStyle w:val="Textoindependiente3"/>
        <w:spacing w:after="0"/>
        <w:ind w:left="4248" w:right="179" w:firstLine="708"/>
        <w:jc w:val="both"/>
        <w:rPr>
          <w:rFonts w:ascii="Tahoma" w:hAnsi="Tahoma" w:cs="Tahoma"/>
          <w:b/>
          <w:sz w:val="20"/>
          <w:szCs w:val="20"/>
        </w:rPr>
      </w:pPr>
    </w:p>
    <w:p w:rsidR="00107B6A" w:rsidRPr="00FE0C9F" w:rsidRDefault="00107B6A" w:rsidP="00FE0C9F">
      <w:pPr>
        <w:pStyle w:val="Textoindependiente3"/>
        <w:spacing w:after="0"/>
        <w:ind w:left="4248" w:right="179" w:firstLine="708"/>
        <w:jc w:val="both"/>
        <w:rPr>
          <w:rFonts w:ascii="Tahoma" w:hAnsi="Tahoma" w:cs="Tahoma"/>
          <w:b/>
          <w:sz w:val="20"/>
          <w:szCs w:val="20"/>
        </w:rPr>
      </w:pPr>
    </w:p>
    <w:p w:rsidR="00FE0C9F" w:rsidRPr="00FE0C9F" w:rsidRDefault="00FE0C9F" w:rsidP="00FE0C9F">
      <w:pPr>
        <w:pStyle w:val="Textoindependiente3"/>
        <w:spacing w:after="0"/>
        <w:ind w:left="4248" w:right="179" w:firstLine="708"/>
        <w:jc w:val="both"/>
        <w:rPr>
          <w:rFonts w:ascii="Tahoma" w:hAnsi="Tahoma" w:cs="Tahoma"/>
          <w:sz w:val="20"/>
          <w:szCs w:val="20"/>
        </w:rPr>
      </w:pPr>
      <w:r w:rsidRPr="00FE0C9F">
        <w:rPr>
          <w:rFonts w:ascii="Tahoma" w:hAnsi="Tahoma" w:cs="Tahoma"/>
          <w:b/>
          <w:sz w:val="20"/>
          <w:szCs w:val="20"/>
        </w:rPr>
        <w:t>Lima</w:t>
      </w:r>
      <w:r w:rsidRPr="00FE0C9F">
        <w:rPr>
          <w:rFonts w:ascii="Tahoma" w:hAnsi="Tahoma" w:cs="Tahoma"/>
          <w:sz w:val="20"/>
          <w:szCs w:val="20"/>
        </w:rPr>
        <w:t xml:space="preserve">, </w:t>
      </w:r>
      <w:r w:rsidR="00EB7443">
        <w:rPr>
          <w:rFonts w:ascii="Tahoma" w:hAnsi="Tahoma" w:cs="Tahoma"/>
          <w:sz w:val="20"/>
          <w:szCs w:val="20"/>
        </w:rPr>
        <w:t>04 de Marzo de 2011</w:t>
      </w:r>
    </w:p>
    <w:p w:rsidR="00FE0C9F" w:rsidRPr="00FE0C9F" w:rsidRDefault="00FE0C9F" w:rsidP="00FE0C9F">
      <w:pPr>
        <w:pStyle w:val="Textoindependiente3"/>
        <w:spacing w:after="0"/>
        <w:jc w:val="both"/>
        <w:rPr>
          <w:rFonts w:ascii="Tahoma" w:hAnsi="Tahoma" w:cs="Tahoma"/>
          <w:sz w:val="20"/>
          <w:szCs w:val="20"/>
        </w:rPr>
      </w:pPr>
    </w:p>
    <w:p w:rsidR="00FE0C9F" w:rsidRPr="00E77502" w:rsidRDefault="00FE0C9F" w:rsidP="00FE0C9F">
      <w:pPr>
        <w:spacing w:after="0" w:line="240" w:lineRule="auto"/>
        <w:jc w:val="both"/>
        <w:rPr>
          <w:rFonts w:ascii="Tahoma" w:hAnsi="Tahoma" w:cs="Tahoma"/>
          <w:sz w:val="20"/>
        </w:rPr>
      </w:pPr>
      <w:r w:rsidRPr="00FE0C9F">
        <w:rPr>
          <w:rFonts w:ascii="Tahoma" w:hAnsi="Tahoma" w:cs="Tahoma"/>
          <w:b/>
          <w:sz w:val="20"/>
          <w:szCs w:val="20"/>
        </w:rPr>
        <w:t>VISTO</w:t>
      </w:r>
      <w:r w:rsidRPr="00FE0C9F">
        <w:rPr>
          <w:rFonts w:ascii="Tahoma" w:hAnsi="Tahoma" w:cs="Tahoma"/>
          <w:sz w:val="20"/>
          <w:szCs w:val="20"/>
        </w:rPr>
        <w:t xml:space="preserve"> en sesión de fecha </w:t>
      </w:r>
      <w:r w:rsidR="0065213E">
        <w:rPr>
          <w:rFonts w:ascii="Tahoma" w:hAnsi="Tahoma" w:cs="Tahoma"/>
          <w:sz w:val="20"/>
          <w:szCs w:val="20"/>
        </w:rPr>
        <w:t>03</w:t>
      </w:r>
      <w:r w:rsidRPr="00FE0C9F">
        <w:rPr>
          <w:rFonts w:ascii="Tahoma" w:hAnsi="Tahoma" w:cs="Tahoma"/>
          <w:sz w:val="20"/>
          <w:szCs w:val="20"/>
        </w:rPr>
        <w:t xml:space="preserve"> de </w:t>
      </w:r>
      <w:r w:rsidR="0065213E">
        <w:rPr>
          <w:rFonts w:ascii="Tahoma" w:hAnsi="Tahoma" w:cs="Tahoma"/>
          <w:sz w:val="20"/>
          <w:szCs w:val="20"/>
        </w:rPr>
        <w:t xml:space="preserve">marzo </w:t>
      </w:r>
      <w:r w:rsidRPr="00FE0C9F">
        <w:rPr>
          <w:rFonts w:ascii="Tahoma" w:hAnsi="Tahoma" w:cs="Tahoma"/>
          <w:sz w:val="20"/>
          <w:szCs w:val="20"/>
        </w:rPr>
        <w:t xml:space="preserve">de 2011 de la Primera Sala del Tribunal de Contrataciones del Estado el Expediente № </w:t>
      </w:r>
      <w:r w:rsidR="0065213E">
        <w:rPr>
          <w:rFonts w:ascii="Tahoma" w:hAnsi="Tahoma" w:cs="Tahoma"/>
          <w:sz w:val="20"/>
          <w:szCs w:val="20"/>
        </w:rPr>
        <w:t>419</w:t>
      </w:r>
      <w:r w:rsidRPr="00FE0C9F">
        <w:rPr>
          <w:rFonts w:ascii="Tahoma" w:hAnsi="Tahoma" w:cs="Tahoma"/>
          <w:sz w:val="20"/>
          <w:szCs w:val="20"/>
        </w:rPr>
        <w:t xml:space="preserve">/2010.TC, sobre el procedimiento administrativo sancionador contra </w:t>
      </w:r>
      <w:r w:rsidR="005D2CD0">
        <w:rPr>
          <w:rFonts w:ascii="Tahoma" w:hAnsi="Tahoma" w:cs="Tahoma"/>
          <w:sz w:val="20"/>
          <w:szCs w:val="20"/>
        </w:rPr>
        <w:t xml:space="preserve">la Sra. </w:t>
      </w:r>
      <w:r w:rsidR="005D2CD0" w:rsidRPr="00FE0C9F">
        <w:rPr>
          <w:rFonts w:ascii="Tahoma" w:hAnsi="Tahoma" w:cs="Tahoma"/>
          <w:sz w:val="20"/>
          <w:szCs w:val="20"/>
        </w:rPr>
        <w:t>Nelly Mayhuasca Villar</w:t>
      </w:r>
      <w:r w:rsidRPr="00FE0C9F">
        <w:rPr>
          <w:rFonts w:ascii="Tahoma" w:hAnsi="Tahoma" w:cs="Tahoma"/>
          <w:sz w:val="20"/>
          <w:szCs w:val="20"/>
        </w:rPr>
        <w:t xml:space="preserve">, por </w:t>
      </w:r>
      <w:r w:rsidR="005D2CD0">
        <w:rPr>
          <w:rFonts w:ascii="Tahoma" w:hAnsi="Tahoma" w:cs="Tahoma"/>
          <w:sz w:val="20"/>
          <w:szCs w:val="20"/>
        </w:rPr>
        <w:t xml:space="preserve">no </w:t>
      </w:r>
      <w:r w:rsidR="009B3079" w:rsidRPr="00FE0C9F">
        <w:rPr>
          <w:rFonts w:ascii="Tahoma" w:hAnsi="Tahoma" w:cs="Tahoma"/>
          <w:sz w:val="20"/>
        </w:rPr>
        <w:t>haber suscrito injustificadamente el contrato Nº 140-2009-MPH-GA derivado de la Adquisición de Productos Alimenticios para el Programa de Complementación Alimentaria Bases Nº 003-2009-CEPCA-MPH</w:t>
      </w:r>
      <w:r w:rsidR="008843BC">
        <w:rPr>
          <w:rFonts w:ascii="Tahoma" w:hAnsi="Tahoma" w:cs="Tahoma"/>
          <w:sz w:val="20"/>
        </w:rPr>
        <w:t xml:space="preserve">, </w:t>
      </w:r>
      <w:r w:rsidR="008843BC" w:rsidRPr="00FE0C9F">
        <w:rPr>
          <w:rFonts w:ascii="Tahoma" w:hAnsi="Tahoma" w:cs="Tahoma"/>
          <w:sz w:val="20"/>
          <w:szCs w:val="20"/>
          <w:lang w:val="es-ES_tradnl" w:eastAsia="es-PE"/>
        </w:rPr>
        <w:t xml:space="preserve">convocado </w:t>
      </w:r>
      <w:r w:rsidR="008843BC">
        <w:rPr>
          <w:rFonts w:ascii="Tahoma" w:hAnsi="Tahoma" w:cs="Tahoma"/>
          <w:sz w:val="20"/>
          <w:szCs w:val="20"/>
          <w:lang w:val="es-ES_tradnl" w:eastAsia="es-PE"/>
        </w:rPr>
        <w:t xml:space="preserve">por </w:t>
      </w:r>
      <w:r w:rsidR="008843BC" w:rsidRPr="00FE0C9F">
        <w:rPr>
          <w:rFonts w:ascii="Tahoma" w:hAnsi="Tahoma" w:cs="Tahoma"/>
          <w:sz w:val="20"/>
          <w:szCs w:val="20"/>
          <w:lang w:val="es-ES_tradnl" w:eastAsia="es-PE"/>
        </w:rPr>
        <w:t>la Municipalidad Provincial de Huancayo</w:t>
      </w:r>
      <w:r w:rsidR="00E77502">
        <w:rPr>
          <w:rFonts w:ascii="Tahoma" w:hAnsi="Tahoma" w:cs="Tahoma"/>
          <w:sz w:val="20"/>
        </w:rPr>
        <w:t xml:space="preserve">; </w:t>
      </w:r>
      <w:r w:rsidRPr="00FE0C9F">
        <w:rPr>
          <w:rFonts w:ascii="Tahoma" w:hAnsi="Tahoma" w:cs="Tahoma"/>
          <w:sz w:val="20"/>
          <w:szCs w:val="20"/>
        </w:rPr>
        <w:t xml:space="preserve">y, atendiendo a los siguientes:   </w:t>
      </w:r>
    </w:p>
    <w:p w:rsidR="00FE0C9F" w:rsidRPr="00FE0C9F" w:rsidRDefault="00FE0C9F" w:rsidP="00FE0C9F">
      <w:pPr>
        <w:spacing w:after="0" w:line="240" w:lineRule="auto"/>
        <w:ind w:right="45"/>
        <w:jc w:val="both"/>
        <w:rPr>
          <w:rFonts w:ascii="Tahoma" w:hAnsi="Tahoma" w:cs="Tahoma"/>
          <w:sz w:val="20"/>
          <w:szCs w:val="20"/>
        </w:rPr>
      </w:pPr>
    </w:p>
    <w:p w:rsidR="00FE0C9F" w:rsidRPr="00FE0C9F" w:rsidRDefault="00FE0C9F" w:rsidP="00FE0C9F">
      <w:pPr>
        <w:pStyle w:val="Ttulo2"/>
        <w:jc w:val="both"/>
        <w:rPr>
          <w:rFonts w:cs="Tahoma"/>
          <w:sz w:val="20"/>
        </w:rPr>
      </w:pPr>
      <w:r w:rsidRPr="00FE0C9F">
        <w:rPr>
          <w:rFonts w:cs="Tahoma"/>
          <w:sz w:val="20"/>
        </w:rPr>
        <w:t>ANTECEDENTES:</w:t>
      </w:r>
    </w:p>
    <w:p w:rsidR="00FE0C9F" w:rsidRPr="00FE0C9F" w:rsidRDefault="00FE0C9F" w:rsidP="00FE0C9F">
      <w:pPr>
        <w:spacing w:after="0" w:line="240" w:lineRule="auto"/>
        <w:ind w:left="426"/>
        <w:jc w:val="both"/>
        <w:rPr>
          <w:rFonts w:ascii="Tahoma" w:hAnsi="Tahoma" w:cs="Tahoma"/>
          <w:b/>
          <w:bCs/>
          <w:shadow/>
          <w:sz w:val="20"/>
          <w:szCs w:val="20"/>
        </w:rPr>
      </w:pPr>
    </w:p>
    <w:p w:rsidR="00FE0C9F" w:rsidRPr="00FE0C9F" w:rsidRDefault="00FE0C9F" w:rsidP="00FE0C9F">
      <w:pPr>
        <w:numPr>
          <w:ilvl w:val="0"/>
          <w:numId w:val="5"/>
        </w:numPr>
        <w:spacing w:after="0" w:line="240" w:lineRule="auto"/>
        <w:ind w:left="426" w:hanging="426"/>
        <w:jc w:val="both"/>
        <w:rPr>
          <w:rFonts w:ascii="Tahoma" w:hAnsi="Tahoma" w:cs="Tahoma"/>
          <w:b/>
          <w:bCs/>
          <w:shadow/>
          <w:sz w:val="20"/>
          <w:szCs w:val="20"/>
        </w:rPr>
      </w:pPr>
      <w:r w:rsidRPr="00FE0C9F">
        <w:rPr>
          <w:rFonts w:ascii="Tahoma" w:hAnsi="Tahoma" w:cs="Tahoma"/>
          <w:sz w:val="20"/>
          <w:szCs w:val="20"/>
        </w:rPr>
        <w:t xml:space="preserve">Con fecha 07 de octubre de 2009, </w:t>
      </w:r>
      <w:r w:rsidRPr="00FE0C9F">
        <w:rPr>
          <w:rFonts w:ascii="Tahoma" w:hAnsi="Tahoma" w:cs="Tahoma"/>
          <w:sz w:val="20"/>
          <w:szCs w:val="20"/>
          <w:lang w:val="es-ES_tradnl" w:eastAsia="es-PE"/>
        </w:rPr>
        <w:t xml:space="preserve">la Municipalidad Provincial de Huancayo, en lo sucesivo la Entidad, publicó las Bases Administrativas del Proceso Nº 003-2009-CAPCA-MPH convocado para la </w:t>
      </w:r>
      <w:r w:rsidRPr="00FE0C9F">
        <w:rPr>
          <w:rFonts w:ascii="Tahoma" w:hAnsi="Tahoma" w:cs="Tahoma"/>
          <w:i/>
          <w:iCs/>
          <w:sz w:val="20"/>
          <w:szCs w:val="20"/>
          <w:lang w:val="es-ES_tradnl" w:eastAsia="es-PE"/>
        </w:rPr>
        <w:t>“Adquisición de Productos Alimenticios para el Programa de Complementación Alimentaria</w:t>
      </w:r>
      <w:r w:rsidRPr="00FE0C9F">
        <w:rPr>
          <w:rFonts w:ascii="Tahoma" w:hAnsi="Tahoma" w:cs="Tahoma"/>
          <w:sz w:val="20"/>
          <w:szCs w:val="20"/>
          <w:lang w:val="es-ES_tradnl" w:eastAsia="es-PE"/>
        </w:rPr>
        <w:t>”, proceso de selección por ítems</w:t>
      </w:r>
      <w:r w:rsidRPr="00FE0C9F">
        <w:rPr>
          <w:rStyle w:val="Refdenotaalpie"/>
          <w:rFonts w:ascii="Tahoma" w:hAnsi="Tahoma" w:cs="Tahoma"/>
          <w:sz w:val="20"/>
          <w:szCs w:val="20"/>
          <w:lang w:val="es-ES_tradnl" w:eastAsia="es-PE"/>
        </w:rPr>
        <w:footnoteReference w:id="2"/>
      </w:r>
      <w:r w:rsidRPr="00FE0C9F">
        <w:rPr>
          <w:rFonts w:ascii="Tahoma" w:hAnsi="Tahoma" w:cs="Tahoma"/>
          <w:sz w:val="20"/>
          <w:szCs w:val="20"/>
          <w:lang w:val="es-ES_tradnl" w:eastAsia="es-PE"/>
        </w:rPr>
        <w:t xml:space="preserve"> convocado bajo el ámbito de la Ley Nº 27767</w:t>
      </w:r>
      <w:r w:rsidRPr="00FE0C9F">
        <w:rPr>
          <w:rStyle w:val="Refdenotaalpie"/>
          <w:rFonts w:ascii="Tahoma" w:hAnsi="Tahoma" w:cs="Tahoma"/>
          <w:sz w:val="20"/>
          <w:szCs w:val="20"/>
          <w:lang w:val="es-ES_tradnl" w:eastAsia="es-PE"/>
        </w:rPr>
        <w:footnoteReference w:id="3"/>
      </w:r>
      <w:r w:rsidRPr="00FE0C9F">
        <w:rPr>
          <w:rFonts w:ascii="Tahoma" w:hAnsi="Tahoma" w:cs="Tahoma"/>
          <w:sz w:val="20"/>
          <w:szCs w:val="20"/>
          <w:lang w:val="es-ES_tradnl" w:eastAsia="es-PE"/>
        </w:rPr>
        <w:t xml:space="preserve"> y su Reglamento, aprobado mediante Decreto Supremo Nº  002-2004-MINDES. El valor referencial del referido proceso ascendía a S/. 139,223.94 (Ciento treinta y nueve mil doscientos veintitrés con 94/100 Nuevos Soles).</w:t>
      </w:r>
    </w:p>
    <w:p w:rsidR="00FE0C9F" w:rsidRPr="00FE0C9F" w:rsidRDefault="00FE0C9F" w:rsidP="00FE0C9F">
      <w:pPr>
        <w:spacing w:after="0" w:line="240" w:lineRule="auto"/>
        <w:ind w:left="426"/>
        <w:jc w:val="both"/>
        <w:rPr>
          <w:rFonts w:ascii="Tahoma" w:hAnsi="Tahoma" w:cs="Tahoma"/>
          <w:b/>
          <w:bCs/>
          <w:shadow/>
          <w:sz w:val="20"/>
          <w:szCs w:val="20"/>
        </w:rPr>
      </w:pPr>
    </w:p>
    <w:p w:rsidR="00FE0C9F" w:rsidRPr="00FE0C9F" w:rsidRDefault="00FE0C9F" w:rsidP="00FE0C9F">
      <w:pPr>
        <w:numPr>
          <w:ilvl w:val="0"/>
          <w:numId w:val="5"/>
        </w:numPr>
        <w:spacing w:after="0" w:line="240" w:lineRule="auto"/>
        <w:ind w:left="426" w:hanging="426"/>
        <w:jc w:val="both"/>
        <w:rPr>
          <w:rFonts w:ascii="Tahoma" w:hAnsi="Tahoma" w:cs="Tahoma"/>
          <w:b/>
          <w:bCs/>
          <w:shadow/>
          <w:sz w:val="20"/>
          <w:szCs w:val="20"/>
        </w:rPr>
      </w:pPr>
      <w:r w:rsidRPr="00FE0C9F">
        <w:rPr>
          <w:rFonts w:ascii="Tahoma" w:hAnsi="Tahoma" w:cs="Tahoma"/>
          <w:sz w:val="20"/>
          <w:szCs w:val="20"/>
        </w:rPr>
        <w:t xml:space="preserve">El 23 de octubre de 2009, se llevó a cabo el acto de presentación de propuestas y el otorgamiento de la buena pro, la cual fue prorrateada entre todos los postores. De este modo, se otorgó a Nelly Mayhuasca Villar la buena pro prorrateada correspondiente a 815 kilos de Arveja Seca Entera (Ítem Nº 04) por un monto total ascendente a S/. 1,687.05 Nuevos Soles.  </w:t>
      </w:r>
    </w:p>
    <w:p w:rsidR="00FE0C9F" w:rsidRPr="00FE0C9F" w:rsidRDefault="00FE0C9F" w:rsidP="00FE0C9F">
      <w:pPr>
        <w:spacing w:after="0" w:line="240" w:lineRule="auto"/>
        <w:ind w:left="426"/>
        <w:jc w:val="both"/>
        <w:rPr>
          <w:rFonts w:ascii="Tahoma" w:hAnsi="Tahoma" w:cs="Tahoma"/>
          <w:b/>
          <w:bCs/>
          <w:shadow/>
          <w:sz w:val="20"/>
          <w:szCs w:val="20"/>
        </w:rPr>
      </w:pPr>
    </w:p>
    <w:p w:rsidR="00FE0C9F" w:rsidRPr="00FE0C9F" w:rsidRDefault="00FE0C9F" w:rsidP="00FE0C9F">
      <w:pPr>
        <w:numPr>
          <w:ilvl w:val="0"/>
          <w:numId w:val="5"/>
        </w:numPr>
        <w:spacing w:after="0" w:line="240" w:lineRule="auto"/>
        <w:ind w:left="426" w:hanging="426"/>
        <w:jc w:val="both"/>
        <w:rPr>
          <w:rFonts w:ascii="Tahoma" w:hAnsi="Tahoma" w:cs="Tahoma"/>
          <w:b/>
          <w:bCs/>
          <w:shadow/>
          <w:sz w:val="20"/>
          <w:szCs w:val="20"/>
        </w:rPr>
      </w:pPr>
      <w:r w:rsidRPr="00FE0C9F">
        <w:rPr>
          <w:rFonts w:ascii="Tahoma" w:hAnsi="Tahoma" w:cs="Tahoma"/>
          <w:sz w:val="20"/>
          <w:szCs w:val="20"/>
        </w:rPr>
        <w:t>El 22 de marzo de 2010, la Entidad presentó en la Mesa de Partes del Tribunal de Contrataciones del Estado el Oficio № 074-2010-MPH/GA mediante el cual denunció a la señora Nelly Mayhuasca Villar, en adelante el Postor, por su supuesta responsabilidad consistente en no haber suscrito el contrato Nº 140-2009-MPH/GA, derivado del</w:t>
      </w:r>
      <w:r w:rsidRPr="00FE0C9F">
        <w:rPr>
          <w:rFonts w:ascii="Tahoma" w:hAnsi="Tahoma" w:cs="Tahoma"/>
          <w:sz w:val="20"/>
          <w:szCs w:val="20"/>
          <w:lang w:val="es-ES_tradnl" w:eastAsia="es-PE"/>
        </w:rPr>
        <w:t xml:space="preserve"> Proceso Nº 003-2009-CAPCA-MPH convocado para la </w:t>
      </w:r>
      <w:r w:rsidRPr="00FE0C9F">
        <w:rPr>
          <w:rFonts w:ascii="Tahoma" w:hAnsi="Tahoma" w:cs="Tahoma"/>
          <w:i/>
          <w:iCs/>
          <w:sz w:val="20"/>
          <w:szCs w:val="20"/>
          <w:lang w:val="es-ES_tradnl" w:eastAsia="es-PE"/>
        </w:rPr>
        <w:t>“Adquisición de Productos Alimenticios para el Programa de Complementación Alimentaria</w:t>
      </w:r>
      <w:r w:rsidRPr="00FE0C9F">
        <w:rPr>
          <w:rFonts w:ascii="Tahoma" w:hAnsi="Tahoma" w:cs="Tahoma"/>
          <w:sz w:val="20"/>
          <w:szCs w:val="20"/>
          <w:lang w:val="es-ES_tradnl" w:eastAsia="es-PE"/>
        </w:rPr>
        <w:t>”. Adjunto al oficio remitido por la Entidad, fue presentado el Informe Nº 1119-2009-MPH/GA-SGLOG y el Informe Legal Nº 161-2010-MPH/GAL, según el siguiente detalle:</w:t>
      </w:r>
    </w:p>
    <w:p w:rsidR="00FE0C9F" w:rsidRDefault="00FE0C9F" w:rsidP="00FE0C9F">
      <w:pPr>
        <w:pStyle w:val="Prrafodelista"/>
        <w:rPr>
          <w:rFonts w:ascii="Tahoma" w:hAnsi="Tahoma" w:cs="Tahoma"/>
          <w:b/>
          <w:bCs/>
          <w:shadow/>
          <w:sz w:val="20"/>
        </w:rPr>
      </w:pPr>
    </w:p>
    <w:p w:rsidR="00FE0C9F" w:rsidRPr="00FE0C9F" w:rsidRDefault="00FE0C9F" w:rsidP="00FE0C9F">
      <w:pPr>
        <w:spacing w:after="0" w:line="240" w:lineRule="auto"/>
        <w:ind w:left="426"/>
        <w:jc w:val="both"/>
        <w:rPr>
          <w:rFonts w:ascii="Tahoma" w:hAnsi="Tahoma" w:cs="Tahoma"/>
          <w:b/>
          <w:bCs/>
          <w:shadow/>
          <w:sz w:val="20"/>
          <w:szCs w:val="20"/>
        </w:rPr>
      </w:pPr>
    </w:p>
    <w:p w:rsidR="00FE0C9F" w:rsidRPr="00FE0C9F" w:rsidRDefault="00FE0C9F" w:rsidP="00FE0C9F">
      <w:pPr>
        <w:numPr>
          <w:ilvl w:val="0"/>
          <w:numId w:val="6"/>
        </w:numPr>
        <w:spacing w:after="0" w:line="240" w:lineRule="auto"/>
        <w:ind w:hanging="720"/>
        <w:jc w:val="both"/>
        <w:rPr>
          <w:rFonts w:ascii="Tahoma" w:hAnsi="Tahoma" w:cs="Tahoma"/>
          <w:sz w:val="20"/>
          <w:szCs w:val="20"/>
          <w:lang w:eastAsia="es-PE"/>
        </w:rPr>
      </w:pPr>
      <w:r w:rsidRPr="00FE0C9F">
        <w:rPr>
          <w:rFonts w:ascii="Tahoma" w:hAnsi="Tahoma" w:cs="Tahoma"/>
          <w:sz w:val="20"/>
          <w:szCs w:val="20"/>
          <w:lang w:eastAsia="es-PE"/>
        </w:rPr>
        <w:t>El 23 de octubre de 2009 fue otorgada la buena pro del proceso de selección. En el inciso 13.1 de las Bases se estableció que los contratos debían suscribirse, bajo responsabilidad, al tercer día hábil de la fecha de otorgamiento de la buena pro, sin que sea necesario que se curse invitación en atención a las disposiciones establecidas en la Ley.</w:t>
      </w:r>
    </w:p>
    <w:p w:rsidR="00FE0C9F" w:rsidRDefault="00FE0C9F" w:rsidP="00FE0C9F">
      <w:pPr>
        <w:spacing w:after="0" w:line="240" w:lineRule="auto"/>
        <w:ind w:left="1146"/>
        <w:jc w:val="both"/>
        <w:rPr>
          <w:rFonts w:ascii="Tahoma" w:hAnsi="Tahoma" w:cs="Tahoma"/>
          <w:sz w:val="20"/>
          <w:szCs w:val="20"/>
          <w:lang w:eastAsia="es-PE"/>
        </w:rPr>
      </w:pPr>
    </w:p>
    <w:p w:rsidR="00FE0C9F" w:rsidRPr="00FE0C9F" w:rsidRDefault="00FE0C9F" w:rsidP="00FE0C9F">
      <w:pPr>
        <w:numPr>
          <w:ilvl w:val="0"/>
          <w:numId w:val="6"/>
        </w:numPr>
        <w:spacing w:after="0" w:line="240" w:lineRule="auto"/>
        <w:ind w:hanging="720"/>
        <w:jc w:val="both"/>
        <w:rPr>
          <w:rFonts w:ascii="Tahoma" w:hAnsi="Tahoma" w:cs="Tahoma"/>
          <w:sz w:val="20"/>
          <w:szCs w:val="20"/>
          <w:lang w:eastAsia="es-PE"/>
        </w:rPr>
      </w:pPr>
      <w:r w:rsidRPr="00FE0C9F">
        <w:rPr>
          <w:rFonts w:ascii="Tahoma" w:hAnsi="Tahoma" w:cs="Tahoma"/>
          <w:sz w:val="20"/>
          <w:szCs w:val="20"/>
          <w:lang w:eastAsia="es-PE"/>
        </w:rPr>
        <w:t xml:space="preserve">El 28 de octubre de 2009 se elaboró el contrato </w:t>
      </w:r>
      <w:r w:rsidRPr="00FE0C9F">
        <w:rPr>
          <w:rFonts w:ascii="Tahoma" w:hAnsi="Tahoma" w:cs="Tahoma"/>
          <w:sz w:val="20"/>
          <w:szCs w:val="20"/>
        </w:rPr>
        <w:t>correspondiente al postor, el cual fue suscrito por el funcionario de la Entidad.</w:t>
      </w:r>
    </w:p>
    <w:p w:rsidR="00FE0C9F" w:rsidRDefault="00FE0C9F" w:rsidP="00FE0C9F">
      <w:pPr>
        <w:spacing w:after="0" w:line="240" w:lineRule="auto"/>
        <w:ind w:left="1146"/>
        <w:jc w:val="both"/>
        <w:rPr>
          <w:rFonts w:ascii="Tahoma" w:hAnsi="Tahoma" w:cs="Tahoma"/>
          <w:sz w:val="20"/>
          <w:szCs w:val="20"/>
          <w:lang w:eastAsia="es-PE"/>
        </w:rPr>
      </w:pPr>
    </w:p>
    <w:p w:rsidR="00FE0C9F" w:rsidRDefault="00FE0C9F" w:rsidP="00FE0C9F">
      <w:pPr>
        <w:numPr>
          <w:ilvl w:val="0"/>
          <w:numId w:val="6"/>
        </w:numPr>
        <w:spacing w:after="0" w:line="240" w:lineRule="auto"/>
        <w:ind w:hanging="720"/>
        <w:jc w:val="both"/>
        <w:rPr>
          <w:rFonts w:ascii="Tahoma" w:hAnsi="Tahoma" w:cs="Tahoma"/>
          <w:sz w:val="20"/>
          <w:szCs w:val="20"/>
          <w:lang w:eastAsia="es-PE"/>
        </w:rPr>
      </w:pPr>
      <w:r w:rsidRPr="00FE0C9F">
        <w:rPr>
          <w:rFonts w:ascii="Tahoma" w:hAnsi="Tahoma" w:cs="Tahoma"/>
          <w:sz w:val="20"/>
          <w:szCs w:val="20"/>
          <w:lang w:eastAsia="es-PE"/>
        </w:rPr>
        <w:t>En virtud de lo expuesto por el artículo 19) del Reglamento de la Ley Nº 27767 ha trascurrido el plazo para suscribir el contrato sin que este se haya formalizado, de modo que la Postora incurrió en causal de imposición de sanción por parte del OSCE.</w:t>
      </w:r>
    </w:p>
    <w:p w:rsidR="00FE0C9F" w:rsidRDefault="00FE0C9F" w:rsidP="00FE0C9F">
      <w:pPr>
        <w:pStyle w:val="Prrafodelista"/>
        <w:rPr>
          <w:rFonts w:ascii="Tahoma" w:hAnsi="Tahoma" w:cs="Tahoma"/>
          <w:sz w:val="20"/>
          <w:lang w:eastAsia="es-PE"/>
        </w:rPr>
      </w:pPr>
    </w:p>
    <w:p w:rsidR="00FE0C9F" w:rsidRPr="00FE0C9F" w:rsidRDefault="00FE0C9F" w:rsidP="00FE0C9F">
      <w:pPr>
        <w:numPr>
          <w:ilvl w:val="0"/>
          <w:numId w:val="5"/>
        </w:numPr>
        <w:spacing w:after="0" w:line="240" w:lineRule="auto"/>
        <w:ind w:left="426" w:hanging="426"/>
        <w:jc w:val="both"/>
        <w:rPr>
          <w:rFonts w:ascii="Tahoma" w:hAnsi="Tahoma" w:cs="Tahoma"/>
          <w:b/>
          <w:bCs/>
          <w:shadow/>
          <w:sz w:val="20"/>
          <w:szCs w:val="20"/>
        </w:rPr>
      </w:pPr>
      <w:r w:rsidRPr="00FE0C9F">
        <w:rPr>
          <w:rFonts w:ascii="Tahoma" w:hAnsi="Tahoma" w:cs="Tahoma"/>
          <w:sz w:val="20"/>
          <w:szCs w:val="20"/>
        </w:rPr>
        <w:t>Mediante decreto de fecha 30 de marzo de 2010, la Secretaría del Tribunal solicitó a la Entidad que subsane su comunicación y cumpla con remitir copia del acta de otorgamiento de la buena pro.</w:t>
      </w:r>
    </w:p>
    <w:p w:rsidR="00FE0C9F" w:rsidRDefault="00FE0C9F" w:rsidP="00FE0C9F">
      <w:pPr>
        <w:spacing w:after="0" w:line="240" w:lineRule="auto"/>
        <w:ind w:left="426"/>
        <w:jc w:val="both"/>
        <w:rPr>
          <w:rFonts w:ascii="Tahoma" w:hAnsi="Tahoma" w:cs="Tahoma"/>
          <w:b/>
          <w:bCs/>
          <w:shadow/>
          <w:sz w:val="20"/>
          <w:szCs w:val="20"/>
        </w:rPr>
      </w:pPr>
    </w:p>
    <w:p w:rsidR="00FE0C9F" w:rsidRPr="00FE0C9F" w:rsidRDefault="00FE0C9F" w:rsidP="00FE0C9F">
      <w:pPr>
        <w:numPr>
          <w:ilvl w:val="0"/>
          <w:numId w:val="5"/>
        </w:numPr>
        <w:spacing w:after="0" w:line="240" w:lineRule="auto"/>
        <w:ind w:left="426" w:hanging="426"/>
        <w:jc w:val="both"/>
        <w:rPr>
          <w:rFonts w:ascii="Tahoma" w:hAnsi="Tahoma" w:cs="Tahoma"/>
          <w:b/>
          <w:bCs/>
          <w:shadow/>
          <w:sz w:val="20"/>
          <w:szCs w:val="20"/>
        </w:rPr>
      </w:pPr>
      <w:r w:rsidRPr="00FE0C9F">
        <w:rPr>
          <w:rFonts w:ascii="Tahoma" w:hAnsi="Tahoma" w:cs="Tahoma"/>
          <w:shadow/>
          <w:sz w:val="20"/>
          <w:szCs w:val="20"/>
        </w:rPr>
        <w:t>Con decreto de fecha 11 de agosto de 2010, se remitió nuevamente la Cédula de Notificación Nº 18611/2010, que comunicaba el requerimiento de la Entidad, a la siguiente dirección Calle Real s/n Centro Cívico, Huancayo – Junín.</w:t>
      </w:r>
    </w:p>
    <w:p w:rsidR="00FE0C9F" w:rsidRPr="00FE0C9F" w:rsidRDefault="00FE0C9F" w:rsidP="00FE0C9F">
      <w:pPr>
        <w:pStyle w:val="Prrafodelista"/>
        <w:rPr>
          <w:rFonts w:ascii="Tahoma" w:hAnsi="Tahoma" w:cs="Tahoma"/>
          <w:b/>
          <w:bCs/>
          <w:shadow/>
          <w:sz w:val="20"/>
        </w:rPr>
      </w:pPr>
    </w:p>
    <w:p w:rsidR="00FE0C9F" w:rsidRPr="00FE0C9F" w:rsidRDefault="00FE0C9F" w:rsidP="00FE0C9F">
      <w:pPr>
        <w:numPr>
          <w:ilvl w:val="0"/>
          <w:numId w:val="5"/>
        </w:numPr>
        <w:spacing w:after="0" w:line="240" w:lineRule="auto"/>
        <w:ind w:left="426" w:hanging="426"/>
        <w:jc w:val="both"/>
        <w:rPr>
          <w:rFonts w:ascii="Tahoma" w:hAnsi="Tahoma" w:cs="Tahoma"/>
          <w:shadow/>
          <w:sz w:val="20"/>
          <w:szCs w:val="20"/>
        </w:rPr>
      </w:pPr>
      <w:r w:rsidRPr="00FE0C9F">
        <w:rPr>
          <w:rFonts w:ascii="Tahoma" w:hAnsi="Tahoma" w:cs="Tahoma"/>
          <w:shadow/>
          <w:sz w:val="20"/>
          <w:szCs w:val="20"/>
        </w:rPr>
        <w:t>Mediante decreto de fecha 10 de diciembre de 2010, se reiteró a la Entidad el requerimiento realizado.</w:t>
      </w:r>
    </w:p>
    <w:p w:rsidR="00FE0C9F" w:rsidRPr="00FE0C9F" w:rsidRDefault="00FE0C9F" w:rsidP="00FE0C9F">
      <w:pPr>
        <w:pStyle w:val="Prrafodelista"/>
        <w:rPr>
          <w:rFonts w:ascii="Tahoma" w:hAnsi="Tahoma" w:cs="Tahoma"/>
          <w:shadow/>
          <w:sz w:val="20"/>
        </w:rPr>
      </w:pPr>
    </w:p>
    <w:p w:rsidR="00FE0C9F" w:rsidRPr="00FE0C9F" w:rsidRDefault="00FE0C9F" w:rsidP="00FE0C9F">
      <w:pPr>
        <w:numPr>
          <w:ilvl w:val="0"/>
          <w:numId w:val="5"/>
        </w:numPr>
        <w:spacing w:after="0" w:line="240" w:lineRule="auto"/>
        <w:ind w:left="426" w:hanging="426"/>
        <w:jc w:val="both"/>
        <w:rPr>
          <w:rFonts w:ascii="Tahoma" w:hAnsi="Tahoma" w:cs="Tahoma"/>
          <w:shadow/>
          <w:sz w:val="20"/>
          <w:szCs w:val="20"/>
        </w:rPr>
      </w:pPr>
      <w:r w:rsidRPr="00FE0C9F">
        <w:rPr>
          <w:rFonts w:ascii="Tahoma" w:hAnsi="Tahoma" w:cs="Tahoma"/>
          <w:shadow/>
          <w:sz w:val="20"/>
          <w:szCs w:val="20"/>
        </w:rPr>
        <w:t>Con decreto de fecha 12 de enero de 2011, no habiendo cumplido la Entidad con remitir la información y documentación solicitada, se dispuso remitir el expediente a la Primera Sala del Tribunal a fin que se pronuncie sobre el inicio del procedimiento administrativo sancionador.</w:t>
      </w:r>
    </w:p>
    <w:p w:rsidR="00FE0C9F" w:rsidRPr="00FE0C9F" w:rsidRDefault="00FE0C9F" w:rsidP="00FE0C9F">
      <w:pPr>
        <w:pStyle w:val="Prrafodelista"/>
        <w:rPr>
          <w:rFonts w:ascii="Tahoma" w:hAnsi="Tahoma" w:cs="Tahoma"/>
          <w:shadow/>
          <w:sz w:val="20"/>
        </w:rPr>
      </w:pPr>
    </w:p>
    <w:p w:rsidR="00FE0C9F" w:rsidRPr="00FE0C9F" w:rsidRDefault="00FE0C9F" w:rsidP="00FE0C9F">
      <w:pPr>
        <w:numPr>
          <w:ilvl w:val="0"/>
          <w:numId w:val="5"/>
        </w:numPr>
        <w:spacing w:after="0" w:line="240" w:lineRule="auto"/>
        <w:ind w:left="426" w:hanging="426"/>
        <w:jc w:val="both"/>
        <w:rPr>
          <w:rFonts w:ascii="Tahoma" w:hAnsi="Tahoma" w:cs="Tahoma"/>
          <w:shadow/>
          <w:sz w:val="20"/>
          <w:szCs w:val="20"/>
        </w:rPr>
      </w:pPr>
      <w:r w:rsidRPr="00FE0C9F">
        <w:rPr>
          <w:rFonts w:ascii="Tahoma" w:hAnsi="Tahoma" w:cs="Tahoma"/>
          <w:shadow/>
          <w:sz w:val="20"/>
          <w:szCs w:val="20"/>
        </w:rPr>
        <w:t xml:space="preserve">Con Acuerdo Nº 049/2011.TC-S1 de fecha 21 de enero de 2011, la Primera Sala del Tribunal dispuso </w:t>
      </w:r>
      <w:r w:rsidRPr="00FE0C9F">
        <w:rPr>
          <w:rFonts w:ascii="Tahoma" w:hAnsi="Tahoma" w:cs="Tahoma"/>
          <w:sz w:val="20"/>
          <w:szCs w:val="20"/>
          <w:lang w:val="es-ES_tradnl"/>
        </w:rPr>
        <w:t xml:space="preserve">Iniciar procedimiento administrativo sancionador a </w:t>
      </w:r>
      <w:r w:rsidRPr="00FE0C9F">
        <w:rPr>
          <w:rFonts w:ascii="Tahoma" w:hAnsi="Tahoma" w:cs="Tahoma"/>
          <w:sz w:val="20"/>
          <w:szCs w:val="20"/>
          <w:lang w:val="es-ES_tradnl" w:eastAsia="es-ES"/>
        </w:rPr>
        <w:t xml:space="preserve">la Sra. </w:t>
      </w:r>
      <w:r w:rsidRPr="00FE0C9F">
        <w:rPr>
          <w:rFonts w:ascii="Tahoma" w:hAnsi="Tahoma" w:cs="Tahoma"/>
          <w:sz w:val="20"/>
          <w:szCs w:val="20"/>
        </w:rPr>
        <w:t>Nelly Mayhuasca Villar</w:t>
      </w:r>
      <w:r w:rsidRPr="00FE0C9F">
        <w:rPr>
          <w:rFonts w:ascii="Tahoma" w:hAnsi="Tahoma" w:cs="Tahoma"/>
          <w:sz w:val="20"/>
          <w:szCs w:val="20"/>
          <w:lang w:val="es-ES_tradnl" w:eastAsia="es-ES"/>
        </w:rPr>
        <w:t xml:space="preserve">, por su supuesta responsabilidad en no suscribir de manera injustificada el contrato Nº 140-2009-MPH/GA, derivado del </w:t>
      </w:r>
      <w:r w:rsidRPr="00FE0C9F">
        <w:rPr>
          <w:rFonts w:ascii="Tahoma" w:hAnsi="Tahoma" w:cs="Tahoma"/>
          <w:sz w:val="20"/>
          <w:szCs w:val="20"/>
          <w:lang w:val="es-ES_tradnl" w:eastAsia="es-PE"/>
        </w:rPr>
        <w:t>Proceso Nº 003-2009-CAPCA-MPH convocado por la Municipalidad  de Huancayo, para la “Adquisición de Productos Alimenticios para el Programa de Complementación Alimentaria”</w:t>
      </w:r>
      <w:r w:rsidRPr="00FE0C9F">
        <w:rPr>
          <w:rFonts w:ascii="Tahoma" w:hAnsi="Tahoma" w:cs="Tahoma"/>
          <w:sz w:val="20"/>
          <w:szCs w:val="20"/>
          <w:lang w:val="es-ES_tradnl"/>
        </w:rPr>
        <w:t xml:space="preserve">; infracción tipificada </w:t>
      </w:r>
      <w:r w:rsidRPr="00FE0C9F">
        <w:rPr>
          <w:rFonts w:ascii="Tahoma" w:hAnsi="Tahoma" w:cs="Tahoma"/>
          <w:spacing w:val="-2"/>
          <w:sz w:val="20"/>
          <w:szCs w:val="20"/>
        </w:rPr>
        <w:t xml:space="preserve">en el literal a) del artículo 30º del </w:t>
      </w:r>
      <w:r w:rsidRPr="00FE0C9F">
        <w:rPr>
          <w:rFonts w:ascii="Tahoma" w:hAnsi="Tahoma" w:cs="Tahoma"/>
          <w:sz w:val="20"/>
          <w:szCs w:val="20"/>
        </w:rPr>
        <w:t>Reglamento de la Ley Nº 27767</w:t>
      </w:r>
      <w:r w:rsidRPr="00FE0C9F">
        <w:rPr>
          <w:rFonts w:ascii="Tahoma" w:hAnsi="Tahoma" w:cs="Tahoma"/>
          <w:sz w:val="20"/>
          <w:szCs w:val="20"/>
          <w:lang w:val="es-ES_tradnl"/>
        </w:rPr>
        <w:t>, normas vigentes al suscitarse los hechos imputados.</w:t>
      </w:r>
    </w:p>
    <w:p w:rsidR="00FE0C9F" w:rsidRPr="00FE0C9F" w:rsidRDefault="00FE0C9F" w:rsidP="00FE0C9F">
      <w:pPr>
        <w:pStyle w:val="Prrafodelista"/>
        <w:rPr>
          <w:rFonts w:ascii="Tahoma" w:hAnsi="Tahoma" w:cs="Tahoma"/>
          <w:shadow/>
          <w:sz w:val="20"/>
        </w:rPr>
      </w:pPr>
    </w:p>
    <w:p w:rsidR="00FE0C9F" w:rsidRPr="00FE0C9F" w:rsidRDefault="00FE0C9F" w:rsidP="00FE0C9F">
      <w:pPr>
        <w:numPr>
          <w:ilvl w:val="0"/>
          <w:numId w:val="5"/>
        </w:numPr>
        <w:spacing w:after="0" w:line="240" w:lineRule="auto"/>
        <w:ind w:left="426" w:hanging="426"/>
        <w:jc w:val="both"/>
        <w:rPr>
          <w:rFonts w:ascii="Tahoma" w:hAnsi="Tahoma" w:cs="Tahoma"/>
          <w:shadow/>
          <w:sz w:val="20"/>
          <w:szCs w:val="20"/>
        </w:rPr>
      </w:pPr>
      <w:r w:rsidRPr="00FE0C9F">
        <w:rPr>
          <w:rFonts w:ascii="Tahoma" w:hAnsi="Tahoma" w:cs="Tahoma"/>
          <w:shadow/>
          <w:sz w:val="20"/>
          <w:szCs w:val="20"/>
        </w:rPr>
        <w:t>Con decreto de fecha 24 de enero de 2011, en virtud al Acuerdo Nº 049/2011.TC-S1, se inició el procedimiento administrativo sancionador  a la Sra. Nelly Mayhuasca Villar, por supuesta responsabilidad en no haber suscrito el contrato  Nº 140-2009-MPH-GA, otorgándosele el plazo de diez (10) días para que presente sus descargos.</w:t>
      </w:r>
    </w:p>
    <w:p w:rsidR="00FE0C9F" w:rsidRPr="00FE0C9F" w:rsidRDefault="00FE0C9F" w:rsidP="00FE0C9F">
      <w:pPr>
        <w:pStyle w:val="Prrafodelista"/>
        <w:rPr>
          <w:rFonts w:ascii="Tahoma" w:hAnsi="Tahoma" w:cs="Tahoma"/>
          <w:shadow/>
          <w:sz w:val="20"/>
        </w:rPr>
      </w:pPr>
    </w:p>
    <w:p w:rsidR="00FE0C9F" w:rsidRPr="00FE0C9F" w:rsidRDefault="00FE0C9F" w:rsidP="00FE0C9F">
      <w:pPr>
        <w:numPr>
          <w:ilvl w:val="0"/>
          <w:numId w:val="5"/>
        </w:numPr>
        <w:spacing w:after="0" w:line="240" w:lineRule="auto"/>
        <w:ind w:left="426" w:hanging="426"/>
        <w:jc w:val="both"/>
        <w:rPr>
          <w:rFonts w:ascii="Tahoma" w:hAnsi="Tahoma" w:cs="Tahoma"/>
          <w:shadow/>
          <w:sz w:val="20"/>
          <w:szCs w:val="20"/>
        </w:rPr>
      </w:pPr>
      <w:r w:rsidRPr="00FE0C9F">
        <w:rPr>
          <w:rFonts w:ascii="Tahoma" w:hAnsi="Tahoma" w:cs="Tahoma"/>
          <w:shadow/>
          <w:sz w:val="20"/>
          <w:szCs w:val="20"/>
        </w:rPr>
        <w:t>Mediante decreto de fecha 17 de febrero de 2011, no habiendo cumplido el postor con presentar sus descargos, se hizo efectivo el apercibimiento de resolver con la documentación obrante en autos, y se dispuso remitir el expediente administrativo a la Primera Sala del Tribunal para que resuelva.</w:t>
      </w:r>
    </w:p>
    <w:p w:rsidR="00FE0C9F" w:rsidRPr="00FE0C9F" w:rsidRDefault="00FE0C9F" w:rsidP="00FE0C9F">
      <w:pPr>
        <w:pStyle w:val="Prrafodelista"/>
        <w:ind w:left="567"/>
        <w:jc w:val="both"/>
        <w:rPr>
          <w:rFonts w:ascii="Tahoma" w:hAnsi="Tahoma" w:cs="Tahoma"/>
          <w:sz w:val="20"/>
          <w:lang w:val="es-ES"/>
        </w:rPr>
      </w:pPr>
    </w:p>
    <w:p w:rsidR="00FE0C9F" w:rsidRDefault="00FE0C9F" w:rsidP="00FE0C9F">
      <w:pPr>
        <w:tabs>
          <w:tab w:val="num" w:pos="9720"/>
        </w:tabs>
        <w:spacing w:after="0" w:line="240" w:lineRule="auto"/>
        <w:jc w:val="both"/>
        <w:rPr>
          <w:rFonts w:ascii="Tahoma" w:hAnsi="Tahoma" w:cs="Tahoma"/>
          <w:b/>
          <w:sz w:val="20"/>
          <w:szCs w:val="20"/>
        </w:rPr>
      </w:pPr>
      <w:r w:rsidRPr="00FE0C9F">
        <w:rPr>
          <w:rFonts w:ascii="Tahoma" w:hAnsi="Tahoma" w:cs="Tahoma"/>
          <w:b/>
          <w:sz w:val="20"/>
          <w:szCs w:val="20"/>
        </w:rPr>
        <w:lastRenderedPageBreak/>
        <w:t>FUNDAMENTACIÓN:</w:t>
      </w:r>
    </w:p>
    <w:p w:rsidR="00FE0C9F" w:rsidRPr="00FE0C9F" w:rsidRDefault="00FE0C9F" w:rsidP="00FE0C9F">
      <w:pPr>
        <w:tabs>
          <w:tab w:val="num" w:pos="9720"/>
        </w:tabs>
        <w:spacing w:after="0" w:line="240" w:lineRule="auto"/>
        <w:jc w:val="both"/>
        <w:rPr>
          <w:rFonts w:ascii="Tahoma" w:hAnsi="Tahoma" w:cs="Tahoma"/>
          <w:b/>
          <w:sz w:val="20"/>
          <w:szCs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 xml:space="preserve">Es materia del presente procedimiento administrativo la supuesta responsabilidad de la señora Nelly Mayhuasca Villar al no haber suscrito injustificadamente el contrato Nº 140-2009-MPH-GA derivado de la Adquisición de Productos Alimenticios para el Programa de Complementación Alimentaria Bases Nº 003-2009-CEPCA-MPH, a pesar de haber resultado ganadora del ítems 1, correspondientes al producto “Arveja seca entera”,  infracción que se encuentra tipificada en el </w:t>
      </w:r>
      <w:r w:rsidRPr="00FE0C9F">
        <w:rPr>
          <w:rFonts w:ascii="Tahoma" w:hAnsi="Tahoma" w:cs="Tahoma"/>
          <w:spacing w:val="-2"/>
          <w:sz w:val="20"/>
        </w:rPr>
        <w:t xml:space="preserve">literal a) del artículo 30 del </w:t>
      </w:r>
      <w:r w:rsidRPr="00FE0C9F">
        <w:rPr>
          <w:rFonts w:ascii="Tahoma" w:hAnsi="Tahoma" w:cs="Tahoma"/>
          <w:sz w:val="20"/>
        </w:rPr>
        <w:t>Reglamento de la Ley Nº 27767, norma vigente al suscitarse los hechos.</w:t>
      </w:r>
    </w:p>
    <w:p w:rsidR="00FE0C9F" w:rsidRPr="00FE0C9F" w:rsidRDefault="00FE0C9F" w:rsidP="00FE0C9F">
      <w:pPr>
        <w:pStyle w:val="Prrafodelista"/>
        <w:ind w:left="567"/>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 xml:space="preserve">El procedimiento para suscribir el contrato ha sido previsto en el artículo 19º la norma antes citada, la cual dispone que el contrato se deberá suscribir, bajo responsabilidad, </w:t>
      </w:r>
      <w:r w:rsidRPr="00FE0C9F">
        <w:rPr>
          <w:rFonts w:ascii="Tahoma" w:hAnsi="Tahoma" w:cs="Tahoma"/>
          <w:sz w:val="20"/>
          <w:u w:val="single"/>
        </w:rPr>
        <w:t>al tercer día hábil siguiente a la fecha del otorgamiento de la Buena Pro</w:t>
      </w:r>
      <w:r w:rsidRPr="00FE0C9F">
        <w:rPr>
          <w:rFonts w:ascii="Tahoma" w:hAnsi="Tahoma" w:cs="Tahoma"/>
          <w:sz w:val="20"/>
        </w:rPr>
        <w:t xml:space="preserve">, sin establecer un procedimiento determinado para ello. Asimismo, esta norma prescribe que transcurrida la fecha fijada para la suscripción del contrato sin la concurrencia del postor ganador </w:t>
      </w:r>
      <w:r w:rsidRPr="00FE0C9F">
        <w:rPr>
          <w:rFonts w:ascii="Tahoma" w:hAnsi="Tahoma" w:cs="Tahoma"/>
          <w:sz w:val="20"/>
          <w:u w:val="single"/>
        </w:rPr>
        <w:t xml:space="preserve">se dejará sin efecto el otorgamiento de la Buena Pro, </w:t>
      </w:r>
      <w:r w:rsidRPr="00FE0C9F">
        <w:rPr>
          <w:rFonts w:ascii="Tahoma" w:hAnsi="Tahoma" w:cs="Tahoma"/>
          <w:sz w:val="20"/>
        </w:rPr>
        <w:t xml:space="preserve"> y la Entidad comunicará al postor o postores que ocuparon los siguientes lugares en el orden de prelación.</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Nótese, que en atención al razonamiento antes esbozado, las Bases del proceso que nos ocupa, fueron claras al establecer en su numeral 13, que “</w:t>
      </w:r>
      <w:r w:rsidRPr="00FE0C9F">
        <w:rPr>
          <w:rFonts w:ascii="Tahoma" w:hAnsi="Tahoma" w:cs="Tahoma"/>
          <w:i/>
          <w:iCs/>
          <w:sz w:val="20"/>
        </w:rPr>
        <w:t>los contratos se deberán suscribir bajo responsabilidad al tercer día hábil de la fecha del otorgamiento de la Buena Pro, sin que se curse la invitación correspondiente por esta disposición establecida en la Ley</w:t>
      </w:r>
      <w:r w:rsidRPr="00FE0C9F">
        <w:rPr>
          <w:rFonts w:ascii="Tahoma" w:hAnsi="Tahoma" w:cs="Tahoma"/>
          <w:sz w:val="20"/>
        </w:rPr>
        <w:t>”.</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Sobre el particular, la Entidad ha indicado que el acto de otorgamiento de la buena pro se llevó a cabo el 23 de octubre de 2009, no obstante lo cual, pese a haber transcurrido el plazo de Ley, el Postor no se habría apersonado a suscribir el contrato correspondiente.</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En efecto, tal y como fluye de los actuados, se advierte que el acto público de otorgamiento de la buena pro tuvo lugar el día 23 de octubre de 2009, pues dicha fecha fue indicada en las Bases del proceso, con lo cual el Postor, en cumplimiento de lo dispuesto en la normativa de la materia, debía apersonarse a suscribir el contrato dentro de los tres días hábiles siguientes, es decir, hasta el 28 de octubre del mismo año, no obstante lo cual no cumplió con apersonarse a suscribir el mismo, por lo que se configuró la causal tipificada como sancionable.</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Seguidamente, corresponde determinar si la no suscripción del referido contrato se debió a una causa justificada o no, ello en la medida que existe la presunción legal</w:t>
      </w:r>
      <w:r w:rsidRPr="00FE0C9F">
        <w:rPr>
          <w:rStyle w:val="Refdenotaalpie"/>
          <w:rFonts w:ascii="Tahoma" w:hAnsi="Tahoma" w:cs="Tahoma"/>
          <w:sz w:val="20"/>
        </w:rPr>
        <w:footnoteReference w:id="4"/>
      </w:r>
      <w:r w:rsidRPr="00FE0C9F">
        <w:rPr>
          <w:rFonts w:ascii="Tahoma" w:hAnsi="Tahoma" w:cs="Tahoma"/>
          <w:sz w:val="20"/>
        </w:rPr>
        <w:t xml:space="preserve"> por la que se asume que esta es producto de la falta de diligencia del Postor adjudicado con la buena pro, lo cual implica que es su deber demostrar lo contrario, es decir, acreditar que, no obstante haber actuado con diligencia ordinaria le fue imposible suscribir el </w:t>
      </w:r>
      <w:r w:rsidRPr="00FE0C9F">
        <w:rPr>
          <w:rFonts w:ascii="Tahoma" w:hAnsi="Tahoma" w:cs="Tahoma"/>
          <w:sz w:val="20"/>
        </w:rPr>
        <w:lastRenderedPageBreak/>
        <w:t xml:space="preserve">contrato respectivo debido a factores ajenos a su voluntad por haber mediado caso fortuito o fuerza mayor. </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tabs>
          <w:tab w:val="left" w:pos="709"/>
        </w:tabs>
        <w:suppressAutoHyphens w:val="0"/>
        <w:ind w:left="567" w:hanging="567"/>
        <w:jc w:val="both"/>
        <w:rPr>
          <w:rFonts w:ascii="Tahoma" w:hAnsi="Tahoma" w:cs="Tahoma"/>
          <w:sz w:val="20"/>
        </w:rPr>
      </w:pPr>
      <w:r w:rsidRPr="00FE0C9F">
        <w:rPr>
          <w:rFonts w:ascii="Tahoma" w:hAnsi="Tahoma" w:cs="Tahoma"/>
          <w:sz w:val="20"/>
          <w:lang w:val="es-PE"/>
        </w:rPr>
        <w:t>Por lo expuesto, siendo que en el caso bajo análisis el Postor no ha señalado argumento alguno con relación a los motivos que pudieran justificar la no suscripción del contrato dentro del plazo previsto, pues no cumplió con presentar sus descargos, ni</w:t>
      </w:r>
      <w:r w:rsidRPr="00FE0C9F">
        <w:rPr>
          <w:rFonts w:ascii="Tahoma" w:hAnsi="Tahoma" w:cs="Tahoma"/>
          <w:sz w:val="20"/>
        </w:rPr>
        <w:t xml:space="preserve"> obra en autos documento alguno que sustente un supuesto de imposibilidad física o jurídica que le haya impedido cumplir con su obligación legal, este Tribunal considera que se ha configurado la infracción prevista en el </w:t>
      </w:r>
      <w:r w:rsidRPr="00FE0C9F">
        <w:rPr>
          <w:rFonts w:ascii="Tahoma" w:hAnsi="Tahoma" w:cs="Tahoma"/>
          <w:spacing w:val="-2"/>
          <w:sz w:val="20"/>
        </w:rPr>
        <w:t xml:space="preserve">literal a) del artículo 30 del </w:t>
      </w:r>
      <w:r w:rsidRPr="00FE0C9F">
        <w:rPr>
          <w:rFonts w:ascii="Tahoma" w:hAnsi="Tahoma" w:cs="Tahoma"/>
          <w:sz w:val="20"/>
        </w:rPr>
        <w:t xml:space="preserve">Reglamento de la Ley N.º 27767, la cual establece una sanción administrativa de inhabilitación al infractor, en su derecho para contratar con el Estado y participar en procesos de selección, por un período </w:t>
      </w:r>
      <w:r w:rsidRPr="00FE0C9F">
        <w:rPr>
          <w:rFonts w:ascii="Tahoma" w:hAnsi="Tahoma" w:cs="Tahoma"/>
          <w:sz w:val="20"/>
          <w:u w:val="single"/>
        </w:rPr>
        <w:t>no menor de uno ni mayor a dos años</w:t>
      </w:r>
      <w:r w:rsidRPr="00FE0C9F">
        <w:rPr>
          <w:rFonts w:ascii="Tahoma" w:hAnsi="Tahoma" w:cs="Tahoma"/>
          <w:sz w:val="20"/>
        </w:rPr>
        <w:t>.</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 xml:space="preserve">En dicho sentido, habiéndose determinado la responsabilidad de la señora Nelly Mayhuasca Villar, a efectos de imponer sanción administrativa este Colegiado tendrá en consideración los siguientes criterios: </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Atendiendo a la naturaleza de la infracción, debe tenerse en cuenta que la no suscripción del Contrato respectivo retrasó innecesariamente la adquisición de los ítems adjudicados, afectando con ello el cumplimiento de los objetivos de la Entidad, los mismos que son programados con anticipación y que además corresponde a la adquisición de bienes para el Programa Nacional Complementario de Asistencia Alimentaria.</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En lo concerniente a las condiciones del infractor, debe señalarse que el Postor no ha sido sancionado en anteriores oportunidades por este Tribunal, lo cual será tomado en cuenta a efectos de la graduación de la sanción administrativa.</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De otro lado, adviértase que el Postor pese a haber sido debidamente notificado, no ha remitido descargo alguno con relación a la conducta que se le imputa.</w:t>
      </w:r>
    </w:p>
    <w:p w:rsidR="00FE0C9F" w:rsidRPr="00FE0C9F" w:rsidRDefault="00FE0C9F" w:rsidP="00FE0C9F">
      <w:pPr>
        <w:pStyle w:val="Prrafodelista"/>
        <w:rPr>
          <w:rFonts w:ascii="Tahoma" w:hAnsi="Tahoma" w:cs="Tahoma"/>
          <w:sz w:val="20"/>
        </w:rPr>
      </w:pPr>
    </w:p>
    <w:p w:rsidR="00FE0C9F" w:rsidRPr="00FE0C9F" w:rsidRDefault="00FE0C9F" w:rsidP="00FE0C9F">
      <w:pPr>
        <w:pStyle w:val="Prrafodelista"/>
        <w:widowControl/>
        <w:numPr>
          <w:ilvl w:val="3"/>
          <w:numId w:val="7"/>
        </w:numPr>
        <w:suppressAutoHyphens w:val="0"/>
        <w:ind w:left="567" w:hanging="567"/>
        <w:jc w:val="both"/>
        <w:rPr>
          <w:rFonts w:ascii="Tahoma" w:hAnsi="Tahoma" w:cs="Tahoma"/>
          <w:sz w:val="20"/>
        </w:rPr>
      </w:pPr>
      <w:r w:rsidRPr="00FE0C9F">
        <w:rPr>
          <w:rFonts w:ascii="Tahoma" w:hAnsi="Tahoma" w:cs="Tahoma"/>
          <w:sz w:val="20"/>
        </w:rPr>
        <w:t xml:space="preserve">En atención a lo expuesto, y en aplicación de lo prescrito por el </w:t>
      </w:r>
      <w:r w:rsidRPr="00FE0C9F">
        <w:rPr>
          <w:rFonts w:ascii="Tahoma" w:hAnsi="Tahoma" w:cs="Tahoma"/>
          <w:i/>
          <w:iCs/>
          <w:sz w:val="20"/>
        </w:rPr>
        <w:t>Principio de Razonabilidad</w:t>
      </w:r>
      <w:r w:rsidRPr="00FE0C9F">
        <w:rPr>
          <w:rFonts w:ascii="Tahoma" w:hAnsi="Tahoma" w:cs="Tahoma"/>
          <w:sz w:val="20"/>
          <w:vertAlign w:val="superscript"/>
        </w:rPr>
        <w:footnoteReference w:id="5"/>
      </w:r>
      <w:r w:rsidRPr="00FE0C9F">
        <w:rPr>
          <w:rFonts w:ascii="Tahoma" w:hAnsi="Tahoma" w:cs="Tahoma"/>
          <w:sz w:val="20"/>
        </w:rPr>
        <w:t xml:space="preserve"> previsto en el numeral 3 del artículo 230 de la Ley N.º 27444 aconseja que las sanciones no deben ser desproporcionadas y que deben guardar atención con la conducta a reprimir, atendiendo a la necesidad de que los postores no deban verse privados de su derecho de proveer al Estado más allá de lo estrictamente necesario para satisfacer los fines de la sanción; este Colegiado considera que debe imponerse al Postor </w:t>
      </w:r>
      <w:r w:rsidRPr="00FE0C9F">
        <w:rPr>
          <w:rFonts w:ascii="Tahoma" w:hAnsi="Tahoma" w:cs="Tahoma"/>
          <w:sz w:val="20"/>
          <w:lang w:val="es-PE"/>
        </w:rPr>
        <w:t xml:space="preserve">la sanción </w:t>
      </w:r>
      <w:r w:rsidRPr="00FE0C9F">
        <w:rPr>
          <w:rFonts w:ascii="Tahoma" w:hAnsi="Tahoma" w:cs="Tahoma"/>
          <w:sz w:val="20"/>
        </w:rPr>
        <w:t>de inhabilitación temporal</w:t>
      </w:r>
      <w:r w:rsidRPr="00FE0C9F">
        <w:rPr>
          <w:rFonts w:ascii="Tahoma" w:hAnsi="Tahoma" w:cs="Tahoma"/>
          <w:b/>
          <w:bCs/>
          <w:sz w:val="20"/>
        </w:rPr>
        <w:t xml:space="preserve"> </w:t>
      </w:r>
      <w:r w:rsidRPr="00FE0C9F">
        <w:rPr>
          <w:rFonts w:ascii="Tahoma" w:hAnsi="Tahoma" w:cs="Tahoma"/>
          <w:sz w:val="20"/>
        </w:rPr>
        <w:t>en su derecho de participar en procesos de selección y contratar con el Estado por el período de doce (12) meses</w:t>
      </w:r>
      <w:r w:rsidRPr="00FE0C9F">
        <w:rPr>
          <w:rFonts w:ascii="Tahoma" w:hAnsi="Tahoma" w:cs="Tahoma"/>
          <w:b/>
          <w:bCs/>
          <w:sz w:val="20"/>
        </w:rPr>
        <w:t>.</w:t>
      </w:r>
    </w:p>
    <w:p w:rsidR="00FE0C9F" w:rsidRPr="00FE0C9F" w:rsidRDefault="00FE0C9F" w:rsidP="00FE0C9F">
      <w:pPr>
        <w:spacing w:after="0" w:line="240" w:lineRule="auto"/>
        <w:ind w:firstLine="567"/>
        <w:jc w:val="both"/>
        <w:rPr>
          <w:rFonts w:ascii="Tahoma" w:hAnsi="Tahoma" w:cs="Tahoma"/>
          <w:sz w:val="20"/>
          <w:szCs w:val="20"/>
          <w:lang w:val="es-ES_tradnl"/>
        </w:rPr>
      </w:pPr>
    </w:p>
    <w:p w:rsidR="00FE0C9F" w:rsidRPr="00FE0C9F" w:rsidRDefault="00FE0C9F" w:rsidP="00FE0C9F">
      <w:pPr>
        <w:spacing w:after="0" w:line="240" w:lineRule="auto"/>
        <w:ind w:firstLine="360"/>
        <w:jc w:val="both"/>
        <w:rPr>
          <w:rFonts w:ascii="Tahoma" w:hAnsi="Tahoma" w:cs="Tahoma"/>
          <w:sz w:val="20"/>
          <w:szCs w:val="20"/>
        </w:rPr>
      </w:pPr>
      <w:r w:rsidRPr="00FE0C9F">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w:t>
      </w:r>
      <w:r w:rsidRPr="00FE0C9F">
        <w:rPr>
          <w:rFonts w:ascii="Tahoma" w:hAnsi="Tahoma" w:cs="Tahoma"/>
          <w:sz w:val="20"/>
          <w:szCs w:val="20"/>
        </w:rPr>
        <w:lastRenderedPageBreak/>
        <w:t>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FE0C9F" w:rsidRDefault="00FE0C9F" w:rsidP="00FE0C9F">
      <w:pPr>
        <w:spacing w:after="0" w:line="240" w:lineRule="auto"/>
        <w:jc w:val="both"/>
        <w:rPr>
          <w:rFonts w:ascii="Tahoma" w:hAnsi="Tahoma" w:cs="Tahoma"/>
          <w:sz w:val="20"/>
          <w:szCs w:val="20"/>
        </w:rPr>
      </w:pPr>
    </w:p>
    <w:p w:rsidR="00FE0C9F" w:rsidRPr="00FE0C9F" w:rsidRDefault="00FE0C9F" w:rsidP="00FE0C9F">
      <w:pPr>
        <w:spacing w:after="0" w:line="240" w:lineRule="auto"/>
        <w:ind w:right="-315"/>
        <w:jc w:val="both"/>
        <w:rPr>
          <w:rFonts w:ascii="Tahoma" w:hAnsi="Tahoma" w:cs="Tahoma"/>
          <w:b/>
          <w:sz w:val="20"/>
          <w:szCs w:val="20"/>
        </w:rPr>
      </w:pPr>
      <w:r w:rsidRPr="00FE0C9F">
        <w:rPr>
          <w:rFonts w:ascii="Tahoma" w:hAnsi="Tahoma" w:cs="Tahoma"/>
          <w:b/>
          <w:sz w:val="20"/>
          <w:szCs w:val="20"/>
        </w:rPr>
        <w:t>LA SALA RESUELVE:</w:t>
      </w:r>
    </w:p>
    <w:p w:rsidR="00FE0C9F" w:rsidRDefault="00FE0C9F" w:rsidP="00FE0C9F">
      <w:pPr>
        <w:widowControl w:val="0"/>
        <w:suppressAutoHyphens/>
        <w:spacing w:after="0" w:line="240" w:lineRule="auto"/>
        <w:ind w:left="567"/>
        <w:jc w:val="both"/>
        <w:rPr>
          <w:rFonts w:ascii="Tahoma" w:hAnsi="Tahoma" w:cs="Tahoma"/>
          <w:sz w:val="20"/>
          <w:szCs w:val="20"/>
        </w:rPr>
      </w:pPr>
    </w:p>
    <w:p w:rsidR="00FE0C9F" w:rsidRPr="00FE0C9F" w:rsidRDefault="00FE0C9F" w:rsidP="00FE0C9F">
      <w:pPr>
        <w:widowControl w:val="0"/>
        <w:numPr>
          <w:ilvl w:val="0"/>
          <w:numId w:val="8"/>
        </w:numPr>
        <w:suppressAutoHyphens/>
        <w:spacing w:after="0" w:line="240" w:lineRule="auto"/>
        <w:ind w:left="567" w:hanging="567"/>
        <w:jc w:val="both"/>
        <w:rPr>
          <w:rFonts w:ascii="Tahoma" w:hAnsi="Tahoma" w:cs="Tahoma"/>
          <w:sz w:val="20"/>
          <w:szCs w:val="20"/>
        </w:rPr>
      </w:pPr>
      <w:r w:rsidRPr="00FE0C9F">
        <w:rPr>
          <w:rFonts w:ascii="Tahoma" w:hAnsi="Tahoma" w:cs="Tahoma"/>
          <w:sz w:val="20"/>
          <w:szCs w:val="20"/>
        </w:rPr>
        <w:t>Imponer sanción administrativa a la señora Nelly Mayhuasca Villar por el período de doce (12) meses de inhabilitación temporal en su derecho de presentarse en procesos de selección y contratar con el Estado, por la no suscripción injustificada d</w:t>
      </w:r>
      <w:r w:rsidRPr="00FE0C9F">
        <w:rPr>
          <w:rFonts w:ascii="Tahoma" w:hAnsi="Tahoma" w:cs="Tahoma"/>
          <w:sz w:val="20"/>
          <w:szCs w:val="20"/>
          <w:lang w:val="es-ES_tradnl" w:eastAsia="es-ES"/>
        </w:rPr>
        <w:t xml:space="preserve">el contrato Nº 140-2009-MPH/GA, derivado del </w:t>
      </w:r>
      <w:r w:rsidRPr="00FE0C9F">
        <w:rPr>
          <w:rFonts w:ascii="Tahoma" w:hAnsi="Tahoma" w:cs="Tahoma"/>
          <w:sz w:val="20"/>
          <w:szCs w:val="20"/>
          <w:lang w:val="es-ES_tradnl" w:eastAsia="es-PE"/>
        </w:rPr>
        <w:t>Proceso Nº 003-2009-CAPCA-MPH convocado por la Municipalidad  de Huancayo, para la “Adquisición de Productos Alimenticios para el Programa de Complementación Alimentaria”</w:t>
      </w:r>
      <w:r w:rsidRPr="00FE0C9F">
        <w:rPr>
          <w:rFonts w:ascii="Tahoma" w:hAnsi="Tahoma" w:cs="Tahoma"/>
          <w:sz w:val="20"/>
          <w:szCs w:val="20"/>
          <w:lang w:val="es-ES_tradnl"/>
        </w:rPr>
        <w:t xml:space="preserve">; infracción tipificada </w:t>
      </w:r>
      <w:r w:rsidRPr="00FE0C9F">
        <w:rPr>
          <w:rFonts w:ascii="Tahoma" w:hAnsi="Tahoma" w:cs="Tahoma"/>
          <w:spacing w:val="-2"/>
          <w:sz w:val="20"/>
          <w:szCs w:val="20"/>
        </w:rPr>
        <w:t xml:space="preserve">en el literal a) del artículo 30º del </w:t>
      </w:r>
      <w:r w:rsidRPr="00FE0C9F">
        <w:rPr>
          <w:rFonts w:ascii="Tahoma" w:hAnsi="Tahoma" w:cs="Tahoma"/>
          <w:sz w:val="20"/>
          <w:szCs w:val="20"/>
        </w:rPr>
        <w:t>Reglamento de la Ley N.º 27767</w:t>
      </w:r>
      <w:r w:rsidRPr="00FE0C9F">
        <w:rPr>
          <w:rFonts w:ascii="Tahoma" w:hAnsi="Tahoma" w:cs="Tahoma"/>
          <w:sz w:val="20"/>
          <w:szCs w:val="20"/>
          <w:lang w:val="es-ES_tradnl"/>
        </w:rPr>
        <w:t xml:space="preserve">, </w:t>
      </w:r>
      <w:r w:rsidRPr="00FE0C9F">
        <w:rPr>
          <w:rFonts w:ascii="Tahoma" w:hAnsi="Tahoma" w:cs="Tahoma"/>
          <w:sz w:val="20"/>
          <w:szCs w:val="20"/>
        </w:rPr>
        <w:t>la cual entrará en vigencia a partir del sexto día hábil siguiente de notificada la presente Resolución.</w:t>
      </w:r>
    </w:p>
    <w:p w:rsidR="00FE0C9F" w:rsidRDefault="00FE0C9F" w:rsidP="00FE0C9F">
      <w:pPr>
        <w:widowControl w:val="0"/>
        <w:suppressAutoHyphens/>
        <w:spacing w:after="0" w:line="240" w:lineRule="auto"/>
        <w:ind w:left="567"/>
        <w:jc w:val="both"/>
        <w:rPr>
          <w:rFonts w:ascii="Tahoma" w:hAnsi="Tahoma" w:cs="Tahoma"/>
          <w:sz w:val="20"/>
          <w:szCs w:val="20"/>
        </w:rPr>
      </w:pPr>
    </w:p>
    <w:p w:rsidR="00FE0C9F" w:rsidRPr="00FE0C9F" w:rsidRDefault="00FE0C9F" w:rsidP="00FE0C9F">
      <w:pPr>
        <w:widowControl w:val="0"/>
        <w:numPr>
          <w:ilvl w:val="0"/>
          <w:numId w:val="8"/>
        </w:numPr>
        <w:suppressAutoHyphens/>
        <w:spacing w:after="0" w:line="240" w:lineRule="auto"/>
        <w:ind w:left="567" w:hanging="567"/>
        <w:jc w:val="both"/>
        <w:rPr>
          <w:rFonts w:ascii="Tahoma" w:hAnsi="Tahoma" w:cs="Tahoma"/>
          <w:sz w:val="20"/>
          <w:szCs w:val="20"/>
        </w:rPr>
      </w:pPr>
      <w:r w:rsidRPr="00FE0C9F">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FE0C9F" w:rsidRPr="00FE0C9F" w:rsidRDefault="00FE0C9F" w:rsidP="00FE0C9F">
      <w:pPr>
        <w:pStyle w:val="Ttulo3"/>
        <w:spacing w:line="240" w:lineRule="auto"/>
        <w:jc w:val="both"/>
        <w:rPr>
          <w:rFonts w:ascii="Tahoma" w:hAnsi="Tahoma" w:cs="Tahoma"/>
          <w:b w:val="0"/>
          <w:bCs w:val="0"/>
          <w:sz w:val="20"/>
          <w:szCs w:val="20"/>
        </w:rPr>
      </w:pPr>
      <w:r w:rsidRPr="00FE0C9F">
        <w:rPr>
          <w:rFonts w:ascii="Tahoma" w:hAnsi="Tahoma" w:cs="Tahoma"/>
          <w:b w:val="0"/>
          <w:sz w:val="20"/>
          <w:szCs w:val="20"/>
        </w:rPr>
        <w:t>Regístrese, comuníquese y publíquese.</w:t>
      </w: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ind w:left="2832" w:firstLine="708"/>
        <w:jc w:val="both"/>
        <w:rPr>
          <w:rFonts w:ascii="Tahoma" w:hAnsi="Tahoma" w:cs="Tahoma"/>
          <w:b/>
          <w:shadow/>
          <w:sz w:val="20"/>
          <w:szCs w:val="20"/>
        </w:rPr>
      </w:pPr>
      <w:r w:rsidRPr="00FE0C9F">
        <w:rPr>
          <w:rFonts w:ascii="Tahoma" w:hAnsi="Tahoma" w:cs="Tahoma"/>
          <w:b/>
          <w:shadow/>
          <w:sz w:val="20"/>
          <w:szCs w:val="20"/>
        </w:rPr>
        <w:t>PRESIDENTE</w:t>
      </w: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b/>
          <w:shadow/>
          <w:sz w:val="20"/>
          <w:szCs w:val="20"/>
        </w:rPr>
      </w:pPr>
    </w:p>
    <w:p w:rsidR="00FE0C9F" w:rsidRPr="00FE0C9F" w:rsidRDefault="00FE0C9F" w:rsidP="00FE0C9F">
      <w:pPr>
        <w:spacing w:after="0" w:line="240" w:lineRule="auto"/>
        <w:jc w:val="both"/>
        <w:rPr>
          <w:rFonts w:ascii="Tahoma" w:hAnsi="Tahoma" w:cs="Tahoma"/>
          <w:shadow/>
          <w:sz w:val="20"/>
          <w:szCs w:val="20"/>
        </w:rPr>
      </w:pPr>
      <w:r w:rsidRPr="00FE0C9F">
        <w:rPr>
          <w:rFonts w:ascii="Tahoma" w:hAnsi="Tahoma" w:cs="Tahoma"/>
          <w:b/>
          <w:shadow/>
          <w:sz w:val="20"/>
          <w:szCs w:val="20"/>
        </w:rPr>
        <w:t xml:space="preserve">                   VOCAL</w:t>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r>
      <w:r w:rsidRPr="00FE0C9F">
        <w:rPr>
          <w:rFonts w:ascii="Tahoma" w:hAnsi="Tahoma" w:cs="Tahoma"/>
          <w:b/>
          <w:shadow/>
          <w:sz w:val="20"/>
          <w:szCs w:val="20"/>
        </w:rPr>
        <w:tab/>
        <w:t xml:space="preserve">VOCAL                                                                 </w:t>
      </w:r>
    </w:p>
    <w:p w:rsidR="00FE0C9F" w:rsidRPr="00FE0C9F" w:rsidRDefault="00FE0C9F" w:rsidP="00FE0C9F">
      <w:pPr>
        <w:spacing w:after="0" w:line="240" w:lineRule="auto"/>
        <w:jc w:val="both"/>
        <w:rPr>
          <w:rFonts w:ascii="Tahoma" w:hAnsi="Tahoma" w:cs="Tahoma"/>
          <w:sz w:val="20"/>
          <w:szCs w:val="20"/>
        </w:rPr>
      </w:pPr>
    </w:p>
    <w:p w:rsidR="00FE0C9F" w:rsidRDefault="00FE0C9F" w:rsidP="00FE0C9F">
      <w:pPr>
        <w:spacing w:after="0" w:line="240" w:lineRule="auto"/>
        <w:jc w:val="both"/>
        <w:rPr>
          <w:rFonts w:ascii="Tahoma" w:hAnsi="Tahoma" w:cs="Tahoma"/>
          <w:sz w:val="20"/>
          <w:szCs w:val="20"/>
        </w:rPr>
      </w:pPr>
    </w:p>
    <w:p w:rsidR="00FE0C9F" w:rsidRDefault="00FE0C9F" w:rsidP="00FE0C9F">
      <w:pPr>
        <w:spacing w:after="0" w:line="240" w:lineRule="auto"/>
        <w:jc w:val="both"/>
        <w:rPr>
          <w:rFonts w:ascii="Tahoma" w:hAnsi="Tahoma" w:cs="Tahoma"/>
          <w:sz w:val="20"/>
          <w:szCs w:val="20"/>
        </w:rPr>
      </w:pPr>
    </w:p>
    <w:p w:rsidR="00FE0C9F" w:rsidRDefault="00FE0C9F" w:rsidP="00FE0C9F">
      <w:pPr>
        <w:spacing w:after="0" w:line="240" w:lineRule="auto"/>
        <w:jc w:val="both"/>
        <w:rPr>
          <w:rFonts w:ascii="Tahoma" w:hAnsi="Tahoma" w:cs="Tahoma"/>
          <w:sz w:val="20"/>
          <w:szCs w:val="20"/>
        </w:rPr>
      </w:pPr>
    </w:p>
    <w:p w:rsidR="00FE0C9F" w:rsidRPr="00FE0C9F" w:rsidRDefault="00FE0C9F" w:rsidP="00FE0C9F">
      <w:pPr>
        <w:spacing w:after="0" w:line="240" w:lineRule="auto"/>
        <w:jc w:val="both"/>
        <w:rPr>
          <w:rFonts w:ascii="Tahoma" w:hAnsi="Tahoma" w:cs="Tahoma"/>
          <w:sz w:val="20"/>
          <w:szCs w:val="20"/>
        </w:rPr>
      </w:pPr>
    </w:p>
    <w:p w:rsidR="00FE0C9F" w:rsidRPr="00FE0C9F" w:rsidRDefault="00FE0C9F" w:rsidP="00FE0C9F">
      <w:pPr>
        <w:spacing w:after="0" w:line="240" w:lineRule="auto"/>
        <w:jc w:val="both"/>
        <w:rPr>
          <w:rFonts w:ascii="Tahoma" w:hAnsi="Tahoma" w:cs="Tahoma"/>
          <w:sz w:val="20"/>
          <w:szCs w:val="20"/>
        </w:rPr>
      </w:pPr>
    </w:p>
    <w:p w:rsidR="00FE0C9F" w:rsidRPr="00FE0C9F" w:rsidRDefault="00FE0C9F" w:rsidP="00FE0C9F">
      <w:pPr>
        <w:spacing w:after="0" w:line="240" w:lineRule="auto"/>
        <w:jc w:val="both"/>
        <w:rPr>
          <w:rFonts w:ascii="Tahoma" w:hAnsi="Tahoma" w:cs="Tahoma"/>
          <w:sz w:val="20"/>
          <w:szCs w:val="20"/>
        </w:rPr>
      </w:pPr>
      <w:r w:rsidRPr="00FE0C9F">
        <w:rPr>
          <w:rFonts w:ascii="Tahoma" w:hAnsi="Tahoma" w:cs="Tahoma"/>
          <w:sz w:val="20"/>
          <w:szCs w:val="20"/>
        </w:rPr>
        <w:t>ss.</w:t>
      </w:r>
    </w:p>
    <w:p w:rsidR="00FE0C9F" w:rsidRPr="00FE0C9F" w:rsidRDefault="00FE0C9F" w:rsidP="00FE0C9F">
      <w:pPr>
        <w:spacing w:after="0" w:line="240" w:lineRule="auto"/>
        <w:jc w:val="both"/>
        <w:rPr>
          <w:rFonts w:ascii="Tahoma" w:hAnsi="Tahoma" w:cs="Tahoma"/>
          <w:sz w:val="20"/>
          <w:szCs w:val="20"/>
        </w:rPr>
      </w:pPr>
      <w:r w:rsidRPr="00FE0C9F">
        <w:rPr>
          <w:rFonts w:ascii="Tahoma" w:hAnsi="Tahoma" w:cs="Tahoma"/>
          <w:sz w:val="20"/>
          <w:szCs w:val="20"/>
        </w:rPr>
        <w:t>Navas Rondón.</w:t>
      </w:r>
    </w:p>
    <w:p w:rsidR="00FE0C9F" w:rsidRPr="00FE0C9F" w:rsidRDefault="00FE0C9F" w:rsidP="00FE0C9F">
      <w:pPr>
        <w:spacing w:after="0" w:line="240" w:lineRule="auto"/>
        <w:jc w:val="both"/>
        <w:rPr>
          <w:rFonts w:ascii="Tahoma" w:hAnsi="Tahoma" w:cs="Tahoma"/>
          <w:sz w:val="20"/>
          <w:szCs w:val="20"/>
        </w:rPr>
      </w:pPr>
      <w:r w:rsidRPr="00FE0C9F">
        <w:rPr>
          <w:rFonts w:ascii="Tahoma" w:hAnsi="Tahoma" w:cs="Tahoma"/>
          <w:sz w:val="20"/>
          <w:szCs w:val="20"/>
        </w:rPr>
        <w:t>Ramírez Maynetto.</w:t>
      </w:r>
    </w:p>
    <w:p w:rsidR="00FE0C9F" w:rsidRPr="00FE0C9F" w:rsidRDefault="00FE0C9F" w:rsidP="00FE0C9F">
      <w:pPr>
        <w:spacing w:after="0" w:line="240" w:lineRule="auto"/>
        <w:jc w:val="both"/>
        <w:rPr>
          <w:rFonts w:ascii="Tahoma" w:hAnsi="Tahoma" w:cs="Tahoma"/>
          <w:sz w:val="20"/>
          <w:szCs w:val="20"/>
        </w:rPr>
      </w:pPr>
      <w:r w:rsidRPr="00FE0C9F">
        <w:rPr>
          <w:rFonts w:ascii="Tahoma" w:hAnsi="Tahoma" w:cs="Tahoma"/>
          <w:sz w:val="20"/>
          <w:szCs w:val="20"/>
        </w:rPr>
        <w:t xml:space="preserve">Basulto Liewald, </w:t>
      </w:r>
    </w:p>
    <w:p w:rsidR="00FE0C9F" w:rsidRPr="00FE0C9F" w:rsidRDefault="00FE0C9F" w:rsidP="00FE0C9F">
      <w:pPr>
        <w:spacing w:line="240" w:lineRule="auto"/>
        <w:rPr>
          <w:rFonts w:ascii="Tahoma" w:hAnsi="Tahoma" w:cs="Tahoma"/>
          <w:sz w:val="20"/>
          <w:szCs w:val="20"/>
        </w:rPr>
      </w:pPr>
    </w:p>
    <w:p w:rsidR="0065213E" w:rsidRPr="00FE0C9F" w:rsidRDefault="0065213E">
      <w:pPr>
        <w:rPr>
          <w:rFonts w:ascii="Tahoma" w:hAnsi="Tahoma" w:cs="Tahoma"/>
          <w:sz w:val="20"/>
          <w:szCs w:val="20"/>
        </w:rPr>
      </w:pPr>
    </w:p>
    <w:sectPr w:rsidR="0065213E" w:rsidRPr="00FE0C9F" w:rsidSect="00610468">
      <w:headerReference w:type="default" r:id="rId7"/>
      <w:footerReference w:type="default" r:id="rId8"/>
      <w:pgSz w:w="11906" w:h="16838"/>
      <w:pgMar w:top="2694" w:right="1700" w:bottom="1276"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048E" w:rsidRDefault="0057048E" w:rsidP="00FE0C9F">
      <w:pPr>
        <w:spacing w:after="0" w:line="240" w:lineRule="auto"/>
      </w:pPr>
      <w:r>
        <w:separator/>
      </w:r>
    </w:p>
  </w:endnote>
  <w:endnote w:type="continuationSeparator" w:id="1">
    <w:p w:rsidR="0057048E" w:rsidRDefault="0057048E" w:rsidP="00FE0C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E" w:rsidRPr="00FD5A0C" w:rsidRDefault="0065213E">
    <w:pPr>
      <w:pStyle w:val="Piedepgina"/>
      <w:jc w:val="center"/>
      <w:rPr>
        <w:rFonts w:ascii="Tahoma" w:hAnsi="Tahoma" w:cs="Tahoma"/>
        <w:i/>
        <w:sz w:val="18"/>
        <w:szCs w:val="18"/>
      </w:rPr>
    </w:pPr>
    <w:r w:rsidRPr="00FD5A0C">
      <w:rPr>
        <w:rFonts w:ascii="Tahoma" w:hAnsi="Tahoma" w:cs="Tahoma"/>
        <w:i/>
        <w:sz w:val="18"/>
        <w:szCs w:val="18"/>
      </w:rPr>
      <w:t xml:space="preserve">Página </w:t>
    </w:r>
    <w:r w:rsidR="00345797" w:rsidRPr="00FD5A0C">
      <w:rPr>
        <w:rFonts w:ascii="Tahoma" w:hAnsi="Tahoma" w:cs="Tahoma"/>
        <w:i/>
        <w:sz w:val="18"/>
        <w:szCs w:val="18"/>
      </w:rPr>
      <w:fldChar w:fldCharType="begin"/>
    </w:r>
    <w:r w:rsidRPr="00FD5A0C">
      <w:rPr>
        <w:rFonts w:ascii="Tahoma" w:hAnsi="Tahoma" w:cs="Tahoma"/>
        <w:i/>
        <w:sz w:val="18"/>
        <w:szCs w:val="18"/>
      </w:rPr>
      <w:instrText>PAGE</w:instrText>
    </w:r>
    <w:r w:rsidR="00345797" w:rsidRPr="00FD5A0C">
      <w:rPr>
        <w:rFonts w:ascii="Tahoma" w:hAnsi="Tahoma" w:cs="Tahoma"/>
        <w:i/>
        <w:sz w:val="18"/>
        <w:szCs w:val="18"/>
      </w:rPr>
      <w:fldChar w:fldCharType="separate"/>
    </w:r>
    <w:r w:rsidR="00EB7443">
      <w:rPr>
        <w:rFonts w:ascii="Tahoma" w:hAnsi="Tahoma" w:cs="Tahoma"/>
        <w:i/>
        <w:noProof/>
        <w:sz w:val="18"/>
        <w:szCs w:val="18"/>
      </w:rPr>
      <w:t>1</w:t>
    </w:r>
    <w:r w:rsidR="00345797" w:rsidRPr="00FD5A0C">
      <w:rPr>
        <w:rFonts w:ascii="Tahoma" w:hAnsi="Tahoma" w:cs="Tahoma"/>
        <w:i/>
        <w:sz w:val="18"/>
        <w:szCs w:val="18"/>
      </w:rPr>
      <w:fldChar w:fldCharType="end"/>
    </w:r>
    <w:r w:rsidRPr="00FD5A0C">
      <w:rPr>
        <w:rFonts w:ascii="Tahoma" w:hAnsi="Tahoma" w:cs="Tahoma"/>
        <w:i/>
        <w:sz w:val="18"/>
        <w:szCs w:val="18"/>
      </w:rPr>
      <w:t xml:space="preserve"> de </w:t>
    </w:r>
    <w:r w:rsidR="00345797" w:rsidRPr="00FD5A0C">
      <w:rPr>
        <w:rFonts w:ascii="Tahoma" w:hAnsi="Tahoma" w:cs="Tahoma"/>
        <w:i/>
        <w:sz w:val="18"/>
        <w:szCs w:val="18"/>
      </w:rPr>
      <w:fldChar w:fldCharType="begin"/>
    </w:r>
    <w:r w:rsidRPr="00FD5A0C">
      <w:rPr>
        <w:rFonts w:ascii="Tahoma" w:hAnsi="Tahoma" w:cs="Tahoma"/>
        <w:i/>
        <w:sz w:val="18"/>
        <w:szCs w:val="18"/>
      </w:rPr>
      <w:instrText>NUMPAGES</w:instrText>
    </w:r>
    <w:r w:rsidR="00345797" w:rsidRPr="00FD5A0C">
      <w:rPr>
        <w:rFonts w:ascii="Tahoma" w:hAnsi="Tahoma" w:cs="Tahoma"/>
        <w:i/>
        <w:sz w:val="18"/>
        <w:szCs w:val="18"/>
      </w:rPr>
      <w:fldChar w:fldCharType="separate"/>
    </w:r>
    <w:r w:rsidR="00EB7443">
      <w:rPr>
        <w:rFonts w:ascii="Tahoma" w:hAnsi="Tahoma" w:cs="Tahoma"/>
        <w:i/>
        <w:noProof/>
        <w:sz w:val="18"/>
        <w:szCs w:val="18"/>
      </w:rPr>
      <w:t>5</w:t>
    </w:r>
    <w:r w:rsidR="00345797" w:rsidRPr="00FD5A0C">
      <w:rPr>
        <w:rFonts w:ascii="Tahoma" w:hAnsi="Tahoma" w:cs="Tahoma"/>
        <w:i/>
        <w:sz w:val="18"/>
        <w:szCs w:val="18"/>
      </w:rPr>
      <w:fldChar w:fldCharType="end"/>
    </w:r>
  </w:p>
  <w:p w:rsidR="0065213E" w:rsidRDefault="0065213E">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048E" w:rsidRDefault="0057048E" w:rsidP="00FE0C9F">
      <w:pPr>
        <w:spacing w:after="0" w:line="240" w:lineRule="auto"/>
      </w:pPr>
      <w:r>
        <w:separator/>
      </w:r>
    </w:p>
  </w:footnote>
  <w:footnote w:type="continuationSeparator" w:id="1">
    <w:p w:rsidR="0057048E" w:rsidRDefault="0057048E" w:rsidP="00FE0C9F">
      <w:pPr>
        <w:spacing w:after="0" w:line="240" w:lineRule="auto"/>
      </w:pPr>
      <w:r>
        <w:continuationSeparator/>
      </w:r>
    </w:p>
  </w:footnote>
  <w:footnote w:id="2">
    <w:p w:rsidR="0065213E" w:rsidRPr="00FE0C9F" w:rsidRDefault="0065213E" w:rsidP="00FE0C9F">
      <w:pPr>
        <w:pStyle w:val="Textonotapie"/>
        <w:rPr>
          <w:sz w:val="16"/>
          <w:szCs w:val="16"/>
        </w:rPr>
      </w:pPr>
      <w:r w:rsidRPr="003E36B4">
        <w:rPr>
          <w:rStyle w:val="Refdenotaalpie"/>
          <w:sz w:val="18"/>
          <w:szCs w:val="18"/>
        </w:rPr>
        <w:footnoteRef/>
      </w:r>
      <w:r w:rsidRPr="003E36B4">
        <w:rPr>
          <w:sz w:val="18"/>
          <w:szCs w:val="18"/>
        </w:rPr>
        <w:t xml:space="preserve"> </w:t>
      </w:r>
      <w:r w:rsidRPr="00FE0C9F">
        <w:rPr>
          <w:sz w:val="16"/>
          <w:szCs w:val="16"/>
        </w:rPr>
        <w:t>El proceso de selección contaba con 4 ítems</w:t>
      </w:r>
    </w:p>
    <w:p w:rsidR="0065213E" w:rsidRPr="00FE0C9F" w:rsidRDefault="0065213E" w:rsidP="00FE0C9F">
      <w:pPr>
        <w:pStyle w:val="Textonotapie"/>
        <w:rPr>
          <w:sz w:val="16"/>
          <w:szCs w:val="16"/>
        </w:rPr>
      </w:pPr>
    </w:p>
  </w:footnote>
  <w:footnote w:id="3">
    <w:p w:rsidR="0065213E" w:rsidRPr="00FE0C9F" w:rsidRDefault="0065213E" w:rsidP="00FE0C9F">
      <w:pPr>
        <w:pStyle w:val="Textonotapie"/>
        <w:rPr>
          <w:sz w:val="16"/>
          <w:szCs w:val="16"/>
        </w:rPr>
      </w:pPr>
      <w:r w:rsidRPr="00FE0C9F">
        <w:rPr>
          <w:rStyle w:val="Refdenotaalpie"/>
          <w:sz w:val="16"/>
          <w:szCs w:val="16"/>
        </w:rPr>
        <w:footnoteRef/>
      </w:r>
      <w:r w:rsidRPr="00FE0C9F">
        <w:rPr>
          <w:sz w:val="16"/>
          <w:szCs w:val="16"/>
        </w:rPr>
        <w:t xml:space="preserve"> Ley del Programa Nacional Complementario de Asistencia Complementaria.</w:t>
      </w:r>
    </w:p>
    <w:p w:rsidR="0065213E" w:rsidRDefault="0065213E" w:rsidP="00FE0C9F">
      <w:pPr>
        <w:pStyle w:val="Textonotapie"/>
      </w:pPr>
      <w:r w:rsidRPr="003E36B4">
        <w:rPr>
          <w:sz w:val="18"/>
          <w:szCs w:val="18"/>
        </w:rPr>
        <w:t xml:space="preserve">  </w:t>
      </w:r>
    </w:p>
  </w:footnote>
  <w:footnote w:id="4">
    <w:p w:rsidR="0065213E" w:rsidRPr="006E3026" w:rsidRDefault="0065213E" w:rsidP="00FE0C9F">
      <w:pPr>
        <w:pStyle w:val="Textonotapie"/>
        <w:ind w:left="142" w:hanging="142"/>
        <w:rPr>
          <w:i/>
          <w:iCs/>
          <w:sz w:val="18"/>
          <w:szCs w:val="18"/>
        </w:rPr>
      </w:pPr>
      <w:r w:rsidRPr="006E3026">
        <w:rPr>
          <w:rStyle w:val="Refdenotaalpie"/>
          <w:i/>
          <w:iCs/>
          <w:sz w:val="18"/>
          <w:szCs w:val="18"/>
        </w:rPr>
        <w:footnoteRef/>
      </w:r>
      <w:r w:rsidRPr="006E3026">
        <w:rPr>
          <w:i/>
          <w:iCs/>
          <w:sz w:val="18"/>
          <w:szCs w:val="18"/>
        </w:rPr>
        <w:t xml:space="preserve"> </w:t>
      </w:r>
      <w:r w:rsidRPr="006E3026">
        <w:rPr>
          <w:i/>
          <w:iCs/>
          <w:sz w:val="18"/>
          <w:szCs w:val="18"/>
        </w:rPr>
        <w:tab/>
      </w:r>
      <w:r w:rsidRPr="006E3026">
        <w:rPr>
          <w:sz w:val="18"/>
          <w:szCs w:val="18"/>
        </w:rPr>
        <w:t xml:space="preserve">La anotada presunción legal se sustenta en el </w:t>
      </w:r>
      <w:r w:rsidRPr="006E3026">
        <w:rPr>
          <w:sz w:val="18"/>
          <w:szCs w:val="18"/>
          <w:lang w:val="es-PE"/>
        </w:rPr>
        <w:t>artículo 1329 del Código Civil, el cual establece que</w:t>
      </w:r>
      <w:r w:rsidRPr="006E3026">
        <w:rPr>
          <w:i/>
          <w:iCs/>
          <w:sz w:val="18"/>
          <w:szCs w:val="18"/>
          <w:lang w:val="es-PE"/>
        </w:rPr>
        <w:t xml:space="preserve"> “se presume que la inejecución de la obligación, o su cumplimiento parcial, tardío o defectuoso, obedece a culpa leve del deudor”, </w:t>
      </w:r>
      <w:r w:rsidRPr="006E3026">
        <w:rPr>
          <w:sz w:val="18"/>
          <w:szCs w:val="18"/>
          <w:lang w:val="es-PE"/>
        </w:rPr>
        <w:t xml:space="preserve">artículo aplicable al presente caso de conformidad con </w:t>
      </w:r>
      <w:r w:rsidRPr="006E3026">
        <w:rPr>
          <w:sz w:val="18"/>
          <w:szCs w:val="18"/>
        </w:rPr>
        <w:t xml:space="preserve">lo dispuesto en </w:t>
      </w:r>
      <w:r w:rsidRPr="006E3026">
        <w:rPr>
          <w:sz w:val="18"/>
          <w:szCs w:val="18"/>
          <w:lang w:val="es-PE"/>
        </w:rPr>
        <w:t xml:space="preserve">el </w:t>
      </w:r>
      <w:r w:rsidRPr="006E3026">
        <w:rPr>
          <w:sz w:val="18"/>
          <w:szCs w:val="18"/>
        </w:rPr>
        <w:t>artículo IX, del Título Preliminar del mismo cuerpo normativo:</w:t>
      </w:r>
      <w:r w:rsidRPr="006E3026">
        <w:rPr>
          <w:i/>
          <w:iCs/>
          <w:sz w:val="18"/>
          <w:szCs w:val="18"/>
        </w:rPr>
        <w:t xml:space="preserve"> “Las disposiciones del Código Civil se aplican supletoriamente a las relaciones y situaciones jurídicas reguladas por otras leyes, siempre que no sean incompatibles con su naturaleza”.</w:t>
      </w:r>
    </w:p>
    <w:p w:rsidR="0065213E" w:rsidRDefault="0065213E" w:rsidP="00FE0C9F">
      <w:pPr>
        <w:pStyle w:val="Textonotapie"/>
        <w:ind w:left="142" w:hanging="142"/>
      </w:pPr>
    </w:p>
  </w:footnote>
  <w:footnote w:id="5">
    <w:p w:rsidR="0065213E" w:rsidRPr="00713CED" w:rsidRDefault="0065213E" w:rsidP="00FE0C9F">
      <w:pPr>
        <w:pStyle w:val="Textonotapie"/>
        <w:tabs>
          <w:tab w:val="left" w:pos="360"/>
        </w:tabs>
        <w:ind w:left="360" w:hanging="360"/>
        <w:rPr>
          <w:i/>
          <w:iCs/>
          <w:sz w:val="16"/>
          <w:szCs w:val="16"/>
        </w:rPr>
      </w:pPr>
      <w:r w:rsidRPr="00713CED">
        <w:rPr>
          <w:rStyle w:val="Refdenotaalpie"/>
          <w:i/>
          <w:iCs/>
        </w:rPr>
        <w:footnoteRef/>
      </w:r>
      <w:r w:rsidRPr="00713CED">
        <w:rPr>
          <w:i/>
          <w:iCs/>
          <w:sz w:val="16"/>
          <w:szCs w:val="16"/>
        </w:rPr>
        <w:t xml:space="preserve">  “</w:t>
      </w:r>
      <w:r w:rsidRPr="00713CED">
        <w:rPr>
          <w:b/>
          <w:bCs/>
          <w:i/>
          <w:iCs/>
          <w:sz w:val="16"/>
          <w:szCs w:val="16"/>
        </w:rPr>
        <w:t>Artículo 230.- Principios de la potestad sancionadora</w:t>
      </w:r>
    </w:p>
    <w:p w:rsidR="0065213E" w:rsidRPr="00713CED" w:rsidRDefault="0065213E" w:rsidP="00FE0C9F">
      <w:pPr>
        <w:pStyle w:val="Textonotapie"/>
        <w:tabs>
          <w:tab w:val="left" w:pos="360"/>
        </w:tabs>
        <w:ind w:left="360" w:hanging="360"/>
        <w:rPr>
          <w:i/>
          <w:iCs/>
          <w:sz w:val="16"/>
          <w:szCs w:val="16"/>
        </w:rPr>
      </w:pPr>
      <w:r w:rsidRPr="00713CED">
        <w:rPr>
          <w:i/>
          <w:iCs/>
          <w:sz w:val="16"/>
          <w:szCs w:val="16"/>
        </w:rPr>
        <w:tab/>
        <w:t>(…)</w:t>
      </w:r>
    </w:p>
    <w:p w:rsidR="0065213E" w:rsidRPr="00713CED" w:rsidRDefault="0065213E" w:rsidP="00FE0C9F">
      <w:pPr>
        <w:pStyle w:val="Textonotapie"/>
        <w:tabs>
          <w:tab w:val="left" w:pos="360"/>
        </w:tabs>
        <w:ind w:left="360" w:hanging="360"/>
        <w:rPr>
          <w:i/>
          <w:iCs/>
          <w:sz w:val="16"/>
          <w:szCs w:val="16"/>
        </w:rPr>
      </w:pPr>
      <w:r w:rsidRPr="00713CED">
        <w:rPr>
          <w:b/>
          <w:bCs/>
          <w:i/>
          <w:iCs/>
          <w:sz w:val="16"/>
          <w:szCs w:val="16"/>
        </w:rPr>
        <w:tab/>
        <w:t>3. Razonabilidad</w:t>
      </w:r>
      <w:r w:rsidRPr="00713CED">
        <w:rPr>
          <w:i/>
          <w:iCs/>
          <w:sz w:val="16"/>
          <w:szCs w:val="16"/>
        </w:rPr>
        <w:t>.- Las autoridades deben prever que la comisión de la conducta sancionable no resulte más ventajosa para el infractor que cumplir las normas infringidas  o asumir la sanción; así como que la determinación de la sanción considere criterios como la existencia o no de intencionalidad, el perjuicio causado, las circunstancias de la comisión de la infracción y la repetición en la comisión de la infracción.</w:t>
      </w:r>
    </w:p>
    <w:p w:rsidR="0065213E" w:rsidRDefault="0065213E" w:rsidP="00FE0C9F">
      <w:pPr>
        <w:pStyle w:val="Textonotapie"/>
        <w:tabs>
          <w:tab w:val="left" w:pos="360"/>
        </w:tabs>
        <w:ind w:left="360" w:hanging="360"/>
      </w:pPr>
      <w:r w:rsidRPr="00713CED">
        <w:rPr>
          <w:i/>
          <w:iCs/>
          <w:sz w:val="16"/>
          <w:szCs w:val="16"/>
        </w:rPr>
        <w:tab/>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443" w:rsidRDefault="00EB7443" w:rsidP="00EB7443">
    <w:pPr>
      <w:pStyle w:val="Encabezado"/>
      <w:rPr>
        <w:noProof/>
      </w:rPr>
    </w:pPr>
    <w:r>
      <w:rPr>
        <w:noProof/>
        <w:lang w:eastAsia="es-ES"/>
      </w:rPr>
      <w:drawing>
        <wp:anchor distT="0" distB="0" distL="114300" distR="114300" simplePos="0" relativeHeight="251659264"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EB7443" w:rsidRDefault="00EB7443" w:rsidP="00EB7443">
    <w:pPr>
      <w:pStyle w:val="Encabezado"/>
      <w:rPr>
        <w:noProof/>
      </w:rPr>
    </w:pPr>
  </w:p>
  <w:p w:rsidR="00EB7443" w:rsidRDefault="00EB7443" w:rsidP="00EB7443">
    <w:pPr>
      <w:pStyle w:val="Encabezado"/>
      <w:rPr>
        <w:noProof/>
      </w:rPr>
    </w:pPr>
  </w:p>
  <w:p w:rsidR="00EB7443" w:rsidRDefault="00EB7443" w:rsidP="00EB7443">
    <w:pPr>
      <w:pStyle w:val="Encabezado"/>
      <w:rPr>
        <w:noProof/>
      </w:rPr>
    </w:pPr>
  </w:p>
  <w:p w:rsidR="00EB7443" w:rsidRDefault="00EB7443" w:rsidP="00EB7443">
    <w:pPr>
      <w:pStyle w:val="Encabezado"/>
      <w:jc w:val="center"/>
    </w:pPr>
    <w:r>
      <w:rPr>
        <w:rFonts w:ascii="Monotype Corsiva" w:hAnsi="Monotype Corsiva"/>
        <w:b/>
        <w:sz w:val="44"/>
        <w:szCs w:val="44"/>
      </w:rPr>
      <w:t xml:space="preserve">Resolución Nº   </w:t>
    </w:r>
    <w:r>
      <w:rPr>
        <w:rFonts w:ascii="Tahoma" w:hAnsi="Tahoma" w:cs="Tahoma"/>
        <w:b/>
        <w:sz w:val="44"/>
        <w:szCs w:val="44"/>
      </w:rPr>
      <w:t>395-2011-TC-S1</w:t>
    </w:r>
  </w:p>
  <w:p w:rsidR="00EB7443" w:rsidRDefault="00EB744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FB8CD090"/>
    <w:lvl w:ilvl="0" w:tplc="C3401FD4">
      <w:start w:val="1"/>
      <w:numFmt w:val="decimal"/>
      <w:lvlText w:val="%1."/>
      <w:lvlJc w:val="left"/>
      <w:pPr>
        <w:tabs>
          <w:tab w:val="num" w:pos="900"/>
        </w:tabs>
        <w:ind w:left="900" w:hanging="360"/>
      </w:pPr>
      <w:rPr>
        <w:rFonts w:cs="Times New Roman"/>
        <w:b/>
        <w:i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1080"/>
        </w:tabs>
        <w:ind w:left="10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
    <w:nsid w:val="0B2A7D80"/>
    <w:multiLevelType w:val="hybridMultilevel"/>
    <w:tmpl w:val="93603076"/>
    <w:lvl w:ilvl="0" w:tplc="7F3A3152">
      <w:start w:val="1"/>
      <w:numFmt w:val="decimal"/>
      <w:lvlText w:val="%1."/>
      <w:lvlJc w:val="left"/>
      <w:pPr>
        <w:ind w:left="720" w:hanging="360"/>
      </w:pPr>
      <w:rPr>
        <w:b/>
        <w:bCs/>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
    <w:nsid w:val="19FA3BA3"/>
    <w:multiLevelType w:val="hybridMultilevel"/>
    <w:tmpl w:val="218C5210"/>
    <w:lvl w:ilvl="0" w:tplc="95484F20">
      <w:start w:val="1"/>
      <w:numFmt w:val="decimal"/>
      <w:lvlText w:val="3.%1."/>
      <w:lvlJc w:val="left"/>
      <w:pPr>
        <w:ind w:left="1146" w:hanging="360"/>
      </w:pPr>
      <w:rPr>
        <w:rFonts w:hint="default"/>
        <w:b w:val="0"/>
        <w:bCs w:val="0"/>
        <w:i w:val="0"/>
        <w:iCs w:val="0"/>
        <w:sz w:val="20"/>
        <w:szCs w:val="20"/>
      </w:rPr>
    </w:lvl>
    <w:lvl w:ilvl="1" w:tplc="0C0A0019">
      <w:start w:val="1"/>
      <w:numFmt w:val="lowerLetter"/>
      <w:lvlText w:val="%2."/>
      <w:lvlJc w:val="left"/>
      <w:pPr>
        <w:ind w:left="1866" w:hanging="360"/>
      </w:pPr>
    </w:lvl>
    <w:lvl w:ilvl="2" w:tplc="0C0A001B">
      <w:start w:val="1"/>
      <w:numFmt w:val="lowerRoman"/>
      <w:lvlText w:val="%3."/>
      <w:lvlJc w:val="right"/>
      <w:pPr>
        <w:ind w:left="2586" w:hanging="180"/>
      </w:pPr>
    </w:lvl>
    <w:lvl w:ilvl="3" w:tplc="0C0A000F">
      <w:start w:val="1"/>
      <w:numFmt w:val="decimal"/>
      <w:lvlText w:val="%4."/>
      <w:lvlJc w:val="left"/>
      <w:pPr>
        <w:ind w:left="3306" w:hanging="360"/>
      </w:pPr>
    </w:lvl>
    <w:lvl w:ilvl="4" w:tplc="0C0A0019">
      <w:start w:val="1"/>
      <w:numFmt w:val="lowerLetter"/>
      <w:lvlText w:val="%5."/>
      <w:lvlJc w:val="left"/>
      <w:pPr>
        <w:ind w:left="4026" w:hanging="360"/>
      </w:pPr>
    </w:lvl>
    <w:lvl w:ilvl="5" w:tplc="0C0A001B">
      <w:start w:val="1"/>
      <w:numFmt w:val="lowerRoman"/>
      <w:lvlText w:val="%6."/>
      <w:lvlJc w:val="right"/>
      <w:pPr>
        <w:ind w:left="4746" w:hanging="180"/>
      </w:pPr>
    </w:lvl>
    <w:lvl w:ilvl="6" w:tplc="0C0A000F">
      <w:start w:val="1"/>
      <w:numFmt w:val="decimal"/>
      <w:lvlText w:val="%7."/>
      <w:lvlJc w:val="left"/>
      <w:pPr>
        <w:ind w:left="5466" w:hanging="360"/>
      </w:pPr>
    </w:lvl>
    <w:lvl w:ilvl="7" w:tplc="0C0A0019">
      <w:start w:val="1"/>
      <w:numFmt w:val="lowerLetter"/>
      <w:lvlText w:val="%8."/>
      <w:lvlJc w:val="left"/>
      <w:pPr>
        <w:ind w:left="6186" w:hanging="360"/>
      </w:pPr>
    </w:lvl>
    <w:lvl w:ilvl="8" w:tplc="0C0A001B">
      <w:start w:val="1"/>
      <w:numFmt w:val="lowerRoman"/>
      <w:lvlText w:val="%9."/>
      <w:lvlJc w:val="right"/>
      <w:pPr>
        <w:ind w:left="6906" w:hanging="180"/>
      </w:pPr>
    </w:lvl>
  </w:abstractNum>
  <w:abstractNum w:abstractNumId="3">
    <w:nsid w:val="26722C80"/>
    <w:multiLevelType w:val="hybridMultilevel"/>
    <w:tmpl w:val="327E6F1C"/>
    <w:lvl w:ilvl="0" w:tplc="61B26CA4">
      <w:start w:val="1"/>
      <w:numFmt w:val="upperLetter"/>
      <w:lvlText w:val="%1."/>
      <w:lvlJc w:val="left"/>
      <w:pPr>
        <w:ind w:left="540" w:hanging="54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17BE153C">
      <w:start w:val="1"/>
      <w:numFmt w:val="decimal"/>
      <w:lvlText w:val="%4."/>
      <w:lvlJc w:val="left"/>
      <w:pPr>
        <w:ind w:left="2880" w:hanging="360"/>
      </w:pPr>
      <w:rPr>
        <w:b/>
        <w:bCs/>
        <w:i w:val="0"/>
        <w:iCs w:val="0"/>
        <w:sz w:val="20"/>
        <w:szCs w:val="20"/>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2FAD2FD0"/>
    <w:multiLevelType w:val="hybridMultilevel"/>
    <w:tmpl w:val="4CC20CE4"/>
    <w:lvl w:ilvl="0" w:tplc="07A834C8">
      <w:start w:val="1"/>
      <w:numFmt w:val="decimal"/>
      <w:lvlText w:val="%1."/>
      <w:lvlJc w:val="left"/>
      <w:pPr>
        <w:ind w:left="900" w:hanging="360"/>
      </w:pPr>
      <w:rPr>
        <w:rFonts w:hint="default"/>
        <w:b/>
        <w:bCs/>
      </w:rPr>
    </w:lvl>
    <w:lvl w:ilvl="1" w:tplc="0C0A0019">
      <w:start w:val="1"/>
      <w:numFmt w:val="lowerLetter"/>
      <w:lvlText w:val="%2."/>
      <w:lvlJc w:val="left"/>
      <w:pPr>
        <w:ind w:left="1620" w:hanging="360"/>
      </w:pPr>
    </w:lvl>
    <w:lvl w:ilvl="2" w:tplc="0C0A001B">
      <w:start w:val="1"/>
      <w:numFmt w:val="lowerRoman"/>
      <w:lvlText w:val="%3."/>
      <w:lvlJc w:val="right"/>
      <w:pPr>
        <w:ind w:left="2340" w:hanging="180"/>
      </w:pPr>
    </w:lvl>
    <w:lvl w:ilvl="3" w:tplc="0C0A000F">
      <w:start w:val="1"/>
      <w:numFmt w:val="decimal"/>
      <w:lvlText w:val="%4."/>
      <w:lvlJc w:val="left"/>
      <w:pPr>
        <w:ind w:left="3060" w:hanging="360"/>
      </w:pPr>
    </w:lvl>
    <w:lvl w:ilvl="4" w:tplc="0C0A0019">
      <w:start w:val="1"/>
      <w:numFmt w:val="lowerLetter"/>
      <w:lvlText w:val="%5."/>
      <w:lvlJc w:val="left"/>
      <w:pPr>
        <w:ind w:left="3780" w:hanging="360"/>
      </w:pPr>
    </w:lvl>
    <w:lvl w:ilvl="5" w:tplc="0C0A001B">
      <w:start w:val="1"/>
      <w:numFmt w:val="lowerRoman"/>
      <w:lvlText w:val="%6."/>
      <w:lvlJc w:val="right"/>
      <w:pPr>
        <w:ind w:left="4500" w:hanging="180"/>
      </w:pPr>
    </w:lvl>
    <w:lvl w:ilvl="6" w:tplc="0C0A000F">
      <w:start w:val="1"/>
      <w:numFmt w:val="decimal"/>
      <w:lvlText w:val="%7."/>
      <w:lvlJc w:val="left"/>
      <w:pPr>
        <w:ind w:left="5220" w:hanging="360"/>
      </w:pPr>
    </w:lvl>
    <w:lvl w:ilvl="7" w:tplc="0C0A0019">
      <w:start w:val="1"/>
      <w:numFmt w:val="lowerLetter"/>
      <w:lvlText w:val="%8."/>
      <w:lvlJc w:val="left"/>
      <w:pPr>
        <w:ind w:left="5940" w:hanging="360"/>
      </w:pPr>
    </w:lvl>
    <w:lvl w:ilvl="8" w:tplc="0C0A001B">
      <w:start w:val="1"/>
      <w:numFmt w:val="lowerRoman"/>
      <w:lvlText w:val="%9."/>
      <w:lvlJc w:val="right"/>
      <w:pPr>
        <w:ind w:left="6660" w:hanging="180"/>
      </w:pPr>
    </w:lvl>
  </w:abstractNum>
  <w:abstractNum w:abstractNumId="5">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6">
    <w:nsid w:val="4ADA5249"/>
    <w:multiLevelType w:val="multilevel"/>
    <w:tmpl w:val="29DEB43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74D02A33"/>
    <w:multiLevelType w:val="hybridMultilevel"/>
    <w:tmpl w:val="A7306BA6"/>
    <w:lvl w:ilvl="0" w:tplc="21262260">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E0C9F"/>
    <w:rsid w:val="00107B6A"/>
    <w:rsid w:val="00292B35"/>
    <w:rsid w:val="003242B2"/>
    <w:rsid w:val="00345797"/>
    <w:rsid w:val="0057048E"/>
    <w:rsid w:val="005D2CD0"/>
    <w:rsid w:val="00610468"/>
    <w:rsid w:val="0065213E"/>
    <w:rsid w:val="00657B4D"/>
    <w:rsid w:val="0066645E"/>
    <w:rsid w:val="006B20E4"/>
    <w:rsid w:val="008843BC"/>
    <w:rsid w:val="0090241D"/>
    <w:rsid w:val="0096071E"/>
    <w:rsid w:val="009B3079"/>
    <w:rsid w:val="00C61F2A"/>
    <w:rsid w:val="00E77502"/>
    <w:rsid w:val="00EB7443"/>
    <w:rsid w:val="00FE0C9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C9F"/>
    <w:rPr>
      <w:rFonts w:ascii="Calibri" w:eastAsia="Calibri" w:hAnsi="Calibri" w:cs="Times New Roman"/>
    </w:rPr>
  </w:style>
  <w:style w:type="paragraph" w:styleId="Ttulo2">
    <w:name w:val="heading 2"/>
    <w:basedOn w:val="Normal"/>
    <w:next w:val="Normal"/>
    <w:link w:val="Ttulo2Car"/>
    <w:qFormat/>
    <w:rsid w:val="00FE0C9F"/>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FE0C9F"/>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FE0C9F"/>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FE0C9F"/>
    <w:rPr>
      <w:rFonts w:ascii="Arial" w:eastAsia="Calibri" w:hAnsi="Arial" w:cs="Arial"/>
      <w:b/>
      <w:bCs/>
      <w:sz w:val="26"/>
      <w:szCs w:val="26"/>
    </w:rPr>
  </w:style>
  <w:style w:type="paragraph" w:styleId="Textoindependiente3">
    <w:name w:val="Body Text 3"/>
    <w:basedOn w:val="Normal"/>
    <w:link w:val="Textoindependiente3Car"/>
    <w:semiHidden/>
    <w:unhideWhenUsed/>
    <w:rsid w:val="00FE0C9F"/>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FE0C9F"/>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FE0C9F"/>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FE0C9F"/>
    <w:pPr>
      <w:tabs>
        <w:tab w:val="center" w:pos="4252"/>
        <w:tab w:val="right" w:pos="8504"/>
      </w:tabs>
    </w:pPr>
  </w:style>
  <w:style w:type="character" w:customStyle="1" w:styleId="PiedepginaCar">
    <w:name w:val="Pie de página Car"/>
    <w:basedOn w:val="Fuentedeprrafopredeter"/>
    <w:link w:val="Piedepgina"/>
    <w:uiPriority w:val="99"/>
    <w:rsid w:val="00FE0C9F"/>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
    <w:basedOn w:val="Normal"/>
    <w:link w:val="TextonotapieCar"/>
    <w:uiPriority w:val="99"/>
    <w:rsid w:val="00FE0C9F"/>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FE0C9F"/>
    <w:rPr>
      <w:rFonts w:ascii="Tahoma" w:eastAsia="Calibri" w:hAnsi="Tahoma" w:cs="Tahoma"/>
      <w:sz w:val="20"/>
      <w:szCs w:val="20"/>
    </w:rPr>
  </w:style>
  <w:style w:type="character" w:styleId="Refdenotaalpie">
    <w:name w:val="footnote reference"/>
    <w:basedOn w:val="Fuentedeprrafopredeter"/>
    <w:uiPriority w:val="99"/>
    <w:semiHidden/>
    <w:rsid w:val="00FE0C9F"/>
    <w:rPr>
      <w:vertAlign w:val="superscript"/>
    </w:rPr>
  </w:style>
  <w:style w:type="paragraph" w:styleId="Textoindependiente">
    <w:name w:val="Body Text"/>
    <w:basedOn w:val="Normal"/>
    <w:link w:val="TextoindependienteCar"/>
    <w:uiPriority w:val="99"/>
    <w:semiHidden/>
    <w:unhideWhenUsed/>
    <w:rsid w:val="00FE0C9F"/>
    <w:pPr>
      <w:spacing w:after="120"/>
    </w:pPr>
  </w:style>
  <w:style w:type="character" w:customStyle="1" w:styleId="TextoindependienteCar">
    <w:name w:val="Texto independiente Car"/>
    <w:basedOn w:val="Fuentedeprrafopredeter"/>
    <w:link w:val="Textoindependiente"/>
    <w:uiPriority w:val="99"/>
    <w:semiHidden/>
    <w:rsid w:val="00FE0C9F"/>
    <w:rPr>
      <w:rFonts w:ascii="Calibri" w:eastAsia="Calibri" w:hAnsi="Calibri" w:cs="Times New Roman"/>
    </w:rPr>
  </w:style>
  <w:style w:type="paragraph" w:styleId="NormalWeb">
    <w:name w:val="Normal (Web)"/>
    <w:basedOn w:val="Normal"/>
    <w:rsid w:val="00FE0C9F"/>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ListParagraph1">
    <w:name w:val="List Paragraph1"/>
    <w:basedOn w:val="Normal"/>
    <w:rsid w:val="00FE0C9F"/>
    <w:pPr>
      <w:spacing w:after="0" w:line="240" w:lineRule="auto"/>
      <w:ind w:left="720"/>
    </w:pPr>
    <w:rPr>
      <w:rFonts w:ascii="Times New Roman" w:eastAsia="Times New Roman" w:hAnsi="Times New Roman"/>
      <w:sz w:val="24"/>
      <w:szCs w:val="24"/>
      <w:lang w:eastAsia="es-ES"/>
    </w:rPr>
  </w:style>
  <w:style w:type="paragraph" w:styleId="Encabezado">
    <w:name w:val="header"/>
    <w:aliases w:val="maria,h"/>
    <w:basedOn w:val="Normal"/>
    <w:link w:val="EncabezadoCar"/>
    <w:uiPriority w:val="99"/>
    <w:unhideWhenUsed/>
    <w:rsid w:val="00EB7443"/>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rsid w:val="00EB7443"/>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1920</Words>
  <Characters>10561</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13</cp:revision>
  <cp:lastPrinted>2011-03-03T21:30:00Z</cp:lastPrinted>
  <dcterms:created xsi:type="dcterms:W3CDTF">2011-03-03T20:57:00Z</dcterms:created>
  <dcterms:modified xsi:type="dcterms:W3CDTF">2011-04-11T17:49:00Z</dcterms:modified>
</cp:coreProperties>
</file>